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F2" w:rsidRDefault="009D41F2" w:rsidP="009D41F2">
      <w:pPr>
        <w:jc w:val="both"/>
      </w:pPr>
      <w:r>
        <w:t>MAVI 3Ç23'te 716mn TL olan beklentilerin üzerinde 1.021mn TL net kar</w:t>
      </w:r>
      <w:bookmarkStart w:id="0" w:name="_GoBack"/>
      <w:bookmarkEnd w:id="0"/>
      <w:r>
        <w:t xml:space="preserve"> açıkladı. Beklenenden daha iyi olan net karın en büyük destekleyicisinin beklentilerin üzerindeki FAVÖK </w:t>
      </w:r>
      <w:proofErr w:type="gramStart"/>
      <w:r>
        <w:t>marjı</w:t>
      </w:r>
      <w:proofErr w:type="gramEnd"/>
      <w:r>
        <w:t xml:space="preserve"> olduğunu söyleyebiliriz. 2023 yılı için beklentilerini artıran MAVI için, 12 Aylık hedef değerimizi TL141’den TL180’e yükseltiyoruz ve Endeks Üzeri Performans tavsiyemizi koruyoruz.</w:t>
      </w:r>
    </w:p>
    <w:p w:rsidR="00AE6862" w:rsidRDefault="00AE6862"/>
    <w:sectPr w:rsidR="00AE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F2"/>
    <w:rsid w:val="009D41F2"/>
    <w:rsid w:val="00A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7322F-F484-4B63-8AC8-DB809470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1F2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FOREKS</dc:creator>
  <cp:keywords/>
  <dc:description/>
  <cp:lastModifiedBy>FOREKS</cp:lastModifiedBy>
  <cp:revision>1</cp:revision>
  <dcterms:created xsi:type="dcterms:W3CDTF">2023-12-12T06:50:00Z</dcterms:created>
  <dcterms:modified xsi:type="dcterms:W3CDTF">2023-12-12T06:50:00Z</dcterms:modified>
</cp:coreProperties>
</file>