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6E0" w:rsidRPr="007D26E0" w:rsidRDefault="007D26E0" w:rsidP="007D26E0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proofErr w:type="spellStart"/>
      <w:r w:rsidRPr="007D26E0">
        <w:rPr>
          <w:rFonts w:ascii="Arial" w:eastAsia="Times New Roman" w:hAnsi="Arial" w:cs="Arial"/>
          <w:b/>
          <w:bCs/>
          <w:color w:val="003366"/>
          <w:sz w:val="44"/>
          <w:szCs w:val="44"/>
          <w:lang w:val="en-US" w:eastAsia="tr-TR"/>
        </w:rPr>
        <w:t>Europap</w:t>
      </w:r>
      <w:proofErr w:type="spellEnd"/>
      <w:r w:rsidRPr="007D26E0">
        <w:rPr>
          <w:rFonts w:ascii="Arial" w:eastAsia="Times New Roman" w:hAnsi="Arial" w:cs="Arial"/>
          <w:b/>
          <w:bCs/>
          <w:color w:val="003366"/>
          <w:sz w:val="44"/>
          <w:szCs w:val="44"/>
          <w:lang w:val="en-US" w:eastAsia="tr-TR"/>
        </w:rPr>
        <w:t xml:space="preserve"> </w:t>
      </w:r>
      <w:proofErr w:type="spellStart"/>
      <w:r w:rsidRPr="007D26E0">
        <w:rPr>
          <w:rFonts w:ascii="Arial" w:eastAsia="Times New Roman" w:hAnsi="Arial" w:cs="Arial"/>
          <w:b/>
          <w:bCs/>
          <w:color w:val="003366"/>
          <w:sz w:val="44"/>
          <w:szCs w:val="44"/>
          <w:lang w:val="en-US" w:eastAsia="tr-TR"/>
        </w:rPr>
        <w:t>Tezol</w:t>
      </w:r>
      <w:proofErr w:type="spellEnd"/>
      <w:r w:rsidRPr="007D26E0">
        <w:rPr>
          <w:rFonts w:ascii="Arial" w:eastAsia="Times New Roman" w:hAnsi="Arial" w:cs="Arial"/>
          <w:b/>
          <w:bCs/>
          <w:color w:val="003366"/>
          <w:sz w:val="44"/>
          <w:szCs w:val="44"/>
          <w:lang w:val="en-US" w:eastAsia="tr-TR"/>
        </w:rPr>
        <w:t xml:space="preserve"> (TEZOL TI)</w:t>
      </w:r>
    </w:p>
    <w:p w:rsidR="007D26E0" w:rsidRPr="007D26E0" w:rsidRDefault="007D26E0" w:rsidP="007D26E0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7D26E0">
        <w:rPr>
          <w:rFonts w:ascii="Arial" w:eastAsia="Times New Roman" w:hAnsi="Arial" w:cs="Arial"/>
          <w:b/>
          <w:bCs/>
          <w:color w:val="003366"/>
          <w:sz w:val="32"/>
          <w:szCs w:val="32"/>
          <w:lang w:val="en-US" w:eastAsia="tr-TR"/>
        </w:rPr>
        <w:t xml:space="preserve">3Ç24 </w:t>
      </w:r>
      <w:proofErr w:type="spellStart"/>
      <w:r w:rsidRPr="007D26E0">
        <w:rPr>
          <w:rFonts w:ascii="Arial" w:eastAsia="Times New Roman" w:hAnsi="Arial" w:cs="Arial"/>
          <w:b/>
          <w:bCs/>
          <w:color w:val="003366"/>
          <w:sz w:val="32"/>
          <w:szCs w:val="32"/>
          <w:lang w:val="en-US" w:eastAsia="tr-TR"/>
        </w:rPr>
        <w:t>Bilanço</w:t>
      </w:r>
      <w:proofErr w:type="spellEnd"/>
      <w:r w:rsidRPr="007D26E0">
        <w:rPr>
          <w:rFonts w:ascii="Arial" w:eastAsia="Times New Roman" w:hAnsi="Arial" w:cs="Arial"/>
          <w:b/>
          <w:bCs/>
          <w:color w:val="003366"/>
          <w:sz w:val="32"/>
          <w:szCs w:val="32"/>
          <w:lang w:val="en-US" w:eastAsia="tr-TR"/>
        </w:rPr>
        <w:t xml:space="preserve"> </w:t>
      </w:r>
      <w:proofErr w:type="spellStart"/>
      <w:proofErr w:type="gramStart"/>
      <w:r w:rsidRPr="007D26E0">
        <w:rPr>
          <w:rFonts w:ascii="Arial" w:eastAsia="Times New Roman" w:hAnsi="Arial" w:cs="Arial"/>
          <w:b/>
          <w:bCs/>
          <w:color w:val="003366"/>
          <w:sz w:val="32"/>
          <w:szCs w:val="32"/>
          <w:lang w:val="en-US" w:eastAsia="tr-TR"/>
        </w:rPr>
        <w:t>Değerlendirme</w:t>
      </w:r>
      <w:proofErr w:type="spellEnd"/>
      <w:r w:rsidRPr="007D26E0">
        <w:rPr>
          <w:rFonts w:ascii="Arial" w:eastAsia="Times New Roman" w:hAnsi="Arial" w:cs="Arial"/>
          <w:b/>
          <w:bCs/>
          <w:color w:val="003366"/>
          <w:sz w:val="32"/>
          <w:szCs w:val="32"/>
          <w:lang w:val="en-US" w:eastAsia="tr-TR"/>
        </w:rPr>
        <w:t xml:space="preserve">  /</w:t>
      </w:r>
      <w:proofErr w:type="gramEnd"/>
      <w:r w:rsidRPr="007D26E0">
        <w:rPr>
          <w:rFonts w:ascii="Arial" w:eastAsia="Times New Roman" w:hAnsi="Arial" w:cs="Arial"/>
          <w:b/>
          <w:bCs/>
          <w:color w:val="003366"/>
          <w:sz w:val="32"/>
          <w:szCs w:val="32"/>
          <w:lang w:val="en-US" w:eastAsia="tr-TR"/>
        </w:rPr>
        <w:t xml:space="preserve"> </w:t>
      </w:r>
      <w:proofErr w:type="spellStart"/>
      <w:r w:rsidRPr="007D26E0">
        <w:rPr>
          <w:rFonts w:ascii="Arial" w:eastAsia="Times New Roman" w:hAnsi="Arial" w:cs="Arial"/>
          <w:b/>
          <w:bCs/>
          <w:color w:val="003366"/>
          <w:sz w:val="32"/>
          <w:szCs w:val="32"/>
          <w:lang w:val="en-US" w:eastAsia="tr-TR"/>
        </w:rPr>
        <w:t>sınırlı</w:t>
      </w:r>
      <w:proofErr w:type="spellEnd"/>
      <w:r w:rsidRPr="007D26E0">
        <w:rPr>
          <w:rFonts w:ascii="Arial" w:eastAsia="Times New Roman" w:hAnsi="Arial" w:cs="Arial"/>
          <w:b/>
          <w:bCs/>
          <w:color w:val="003366"/>
          <w:sz w:val="32"/>
          <w:szCs w:val="32"/>
          <w:lang w:val="en-US" w:eastAsia="tr-TR"/>
        </w:rPr>
        <w:t xml:space="preserve"> </w:t>
      </w:r>
      <w:proofErr w:type="spellStart"/>
      <w:r w:rsidRPr="007D26E0">
        <w:rPr>
          <w:rFonts w:ascii="Arial" w:eastAsia="Times New Roman" w:hAnsi="Arial" w:cs="Arial"/>
          <w:b/>
          <w:bCs/>
          <w:color w:val="003366"/>
          <w:sz w:val="32"/>
          <w:szCs w:val="32"/>
          <w:lang w:val="en-US" w:eastAsia="tr-TR"/>
        </w:rPr>
        <w:t>olumlu</w:t>
      </w:r>
      <w:proofErr w:type="spellEnd"/>
    </w:p>
    <w:p w:rsidR="007D26E0" w:rsidRPr="007D26E0" w:rsidRDefault="007D26E0" w:rsidP="007D26E0">
      <w:pPr>
        <w:shd w:val="clear" w:color="auto" w:fill="FFFFFF"/>
        <w:spacing w:after="0" w:line="280" w:lineRule="atLeast"/>
        <w:jc w:val="center"/>
        <w:rPr>
          <w:rFonts w:ascii="FreeSetC" w:eastAsia="Times New Roman" w:hAnsi="FreeSetC" w:cs="Arial"/>
          <w:color w:val="222222"/>
          <w:sz w:val="19"/>
          <w:szCs w:val="19"/>
          <w:lang w:eastAsia="tr-TR"/>
        </w:rPr>
      </w:pPr>
      <w:r w:rsidRPr="007D26E0">
        <w:rPr>
          <w:rFonts w:ascii="FreeSetC" w:eastAsia="Times New Roman" w:hAnsi="FreeSetC" w:cs="Arial"/>
          <w:color w:val="222222"/>
          <w:sz w:val="19"/>
          <w:szCs w:val="19"/>
          <w:lang w:eastAsia="tr-TR"/>
        </w:rPr>
        <w:pict>
          <v:rect id="_x0000_i1025" style="width:453.6pt;height:.75pt" o:hralign="center" o:hrstd="t" o:hrnoshade="t" o:hr="t" fillcolor="#036" stroked="f"/>
        </w:pict>
      </w:r>
    </w:p>
    <w:p w:rsidR="007D26E0" w:rsidRPr="007D26E0" w:rsidRDefault="007D26E0" w:rsidP="007D26E0">
      <w:pPr>
        <w:shd w:val="clear" w:color="auto" w:fill="FFFFFF"/>
        <w:spacing w:after="0" w:line="28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proofErr w:type="spellStart"/>
      <w:r w:rsidRPr="007D26E0">
        <w:rPr>
          <w:rFonts w:ascii="Arial" w:eastAsia="Times New Roman" w:hAnsi="Arial" w:cs="Arial"/>
          <w:b/>
          <w:bCs/>
          <w:color w:val="222222"/>
          <w:sz w:val="24"/>
          <w:szCs w:val="24"/>
          <w:lang w:eastAsia="tr-TR"/>
        </w:rPr>
        <w:t>Europap</w:t>
      </w:r>
      <w:proofErr w:type="spellEnd"/>
      <w:r w:rsidRPr="007D26E0">
        <w:rPr>
          <w:rFonts w:ascii="Arial" w:eastAsia="Times New Roman" w:hAnsi="Arial" w:cs="Arial"/>
          <w:b/>
          <w:bCs/>
          <w:color w:val="222222"/>
          <w:sz w:val="24"/>
          <w:szCs w:val="24"/>
          <w:lang w:eastAsia="tr-TR"/>
        </w:rPr>
        <w:t xml:space="preserve"> </w:t>
      </w:r>
      <w:proofErr w:type="spellStart"/>
      <w:r w:rsidRPr="007D26E0">
        <w:rPr>
          <w:rFonts w:ascii="Arial" w:eastAsia="Times New Roman" w:hAnsi="Arial" w:cs="Arial"/>
          <w:b/>
          <w:bCs/>
          <w:color w:val="222222"/>
          <w:sz w:val="24"/>
          <w:szCs w:val="24"/>
          <w:lang w:eastAsia="tr-TR"/>
        </w:rPr>
        <w:t>Tezol</w:t>
      </w:r>
      <w:proofErr w:type="spellEnd"/>
      <w:r w:rsidRPr="007D26E0">
        <w:rPr>
          <w:rFonts w:ascii="Arial" w:eastAsia="Times New Roman" w:hAnsi="Arial" w:cs="Arial"/>
          <w:b/>
          <w:bCs/>
          <w:color w:val="222222"/>
          <w:sz w:val="24"/>
          <w:szCs w:val="24"/>
          <w:lang w:eastAsia="tr-TR"/>
        </w:rPr>
        <w:t>, 3Ç24’te 1.308 milyon TL gelir, 364 milyon TL FAVÖK ve 199 milyon TL net kar açıkladı. Muhasebe değişikliği nedeniyle 3Ç24 finansallarında, parasal kazanç/kayıp kalemi altında 51 milyon TL’lik olumsuz etki oluştu.</w:t>
      </w:r>
    </w:p>
    <w:p w:rsidR="007D26E0" w:rsidRPr="007D26E0" w:rsidRDefault="007D26E0" w:rsidP="007D26E0">
      <w:pPr>
        <w:shd w:val="clear" w:color="auto" w:fill="FFFFFF"/>
        <w:spacing w:before="100" w:beforeAutospacing="1" w:after="0" w:line="280" w:lineRule="atLeast"/>
        <w:ind w:left="170"/>
        <w:jc w:val="both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bookmarkStart w:id="0" w:name="m_-3668758831455752920__Hlk164954412"/>
      <w:bookmarkStart w:id="1" w:name="m_-3668758831455752920__Hlk180737363"/>
      <w:bookmarkStart w:id="2" w:name="m_-3668758831455752920__Hlk164954405"/>
      <w:bookmarkEnd w:id="0"/>
      <w:bookmarkEnd w:id="1"/>
      <w:r w:rsidRPr="007D26E0">
        <w:rPr>
          <w:rFonts w:ascii="Lucida Console" w:eastAsia="Times New Roman" w:hAnsi="Lucida Console" w:cs="Arial"/>
          <w:color w:val="1F4E79"/>
          <w:sz w:val="14"/>
          <w:szCs w:val="14"/>
          <w:lang w:eastAsia="tr-TR"/>
        </w:rPr>
        <w:t>█</w:t>
      </w:r>
      <w:r w:rsidRPr="007D26E0">
        <w:rPr>
          <w:rFonts w:ascii="Times New Roman" w:eastAsia="Times New Roman" w:hAnsi="Times New Roman" w:cs="Times New Roman"/>
          <w:color w:val="1F4E79"/>
          <w:sz w:val="14"/>
          <w:szCs w:val="14"/>
          <w:lang w:eastAsia="tr-TR"/>
        </w:rPr>
        <w:t> </w:t>
      </w:r>
      <w:r w:rsidRPr="007D26E0">
        <w:rPr>
          <w:rFonts w:ascii="Calibri" w:eastAsia="Times New Roman" w:hAnsi="Calibri" w:cs="Calibri"/>
          <w:b/>
          <w:bCs/>
          <w:color w:val="222222"/>
          <w:lang w:eastAsia="tr-TR"/>
        </w:rPr>
        <w:t>Bilançoda olumlu okuduğumuz detaylar</w:t>
      </w:r>
      <w:bookmarkEnd w:id="2"/>
    </w:p>
    <w:p w:rsidR="007D26E0" w:rsidRPr="007D26E0" w:rsidRDefault="007D26E0" w:rsidP="007D26E0">
      <w:pPr>
        <w:shd w:val="clear" w:color="auto" w:fill="FFFFFF"/>
        <w:spacing w:before="100" w:beforeAutospacing="1" w:after="0" w:line="280" w:lineRule="atLeast"/>
        <w:ind w:left="720"/>
        <w:jc w:val="both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bookmarkStart w:id="3" w:name="m_-3668758831455752920__Hlk180737338"/>
      <w:r w:rsidRPr="007D26E0">
        <w:rPr>
          <w:rFonts w:ascii="Wingdings" w:eastAsia="Times New Roman" w:hAnsi="Wingdings" w:cs="Arial"/>
          <w:color w:val="222222"/>
          <w:lang w:eastAsia="tr-TR"/>
        </w:rPr>
        <w:t></w:t>
      </w:r>
      <w:r w:rsidRPr="007D26E0">
        <w:rPr>
          <w:rFonts w:ascii="Times New Roman" w:eastAsia="Times New Roman" w:hAnsi="Times New Roman" w:cs="Times New Roman"/>
          <w:color w:val="222222"/>
          <w:sz w:val="14"/>
          <w:szCs w:val="14"/>
          <w:lang w:eastAsia="tr-TR"/>
        </w:rPr>
        <w:t>  </w:t>
      </w:r>
      <w:r w:rsidRPr="007D26E0">
        <w:rPr>
          <w:rFonts w:ascii="Calibri" w:eastAsia="Times New Roman" w:hAnsi="Calibri" w:cs="Calibri"/>
          <w:i/>
          <w:iCs/>
          <w:color w:val="222222"/>
          <w:lang w:eastAsia="tr-TR"/>
        </w:rPr>
        <w:t>Satışlarda güçlü reel büyüme, FAVÖK tarafında artış</w:t>
      </w:r>
      <w:bookmarkEnd w:id="3"/>
    </w:p>
    <w:p w:rsidR="007D26E0" w:rsidRPr="007D26E0" w:rsidRDefault="007D26E0" w:rsidP="007D26E0">
      <w:pPr>
        <w:shd w:val="clear" w:color="auto" w:fill="FFFFFF"/>
        <w:spacing w:before="100" w:beforeAutospacing="1" w:after="0" w:line="280" w:lineRule="atLeast"/>
        <w:ind w:left="170"/>
        <w:jc w:val="both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7D26E0">
        <w:rPr>
          <w:rFonts w:ascii="Lucida Console" w:eastAsia="Times New Roman" w:hAnsi="Lucida Console" w:cs="Arial"/>
          <w:color w:val="1F4E79"/>
          <w:sz w:val="14"/>
          <w:szCs w:val="14"/>
          <w:lang w:eastAsia="tr-TR"/>
        </w:rPr>
        <w:t>█</w:t>
      </w:r>
      <w:r w:rsidRPr="007D26E0">
        <w:rPr>
          <w:rFonts w:ascii="Times New Roman" w:eastAsia="Times New Roman" w:hAnsi="Times New Roman" w:cs="Times New Roman"/>
          <w:color w:val="1F4E79"/>
          <w:sz w:val="14"/>
          <w:szCs w:val="14"/>
          <w:lang w:eastAsia="tr-TR"/>
        </w:rPr>
        <w:t> </w:t>
      </w:r>
      <w:r w:rsidRPr="007D26E0">
        <w:rPr>
          <w:rFonts w:ascii="Calibri" w:eastAsia="Times New Roman" w:hAnsi="Calibri" w:cs="Calibri"/>
          <w:b/>
          <w:bCs/>
          <w:color w:val="222222"/>
          <w:lang w:eastAsia="tr-TR"/>
        </w:rPr>
        <w:t>Bilançoda olumsuz okuduğumuz detaylar</w:t>
      </w:r>
    </w:p>
    <w:p w:rsidR="007D26E0" w:rsidRPr="007D26E0" w:rsidRDefault="007D26E0" w:rsidP="007D26E0">
      <w:pPr>
        <w:shd w:val="clear" w:color="auto" w:fill="FFFFFF"/>
        <w:spacing w:before="100" w:beforeAutospacing="1" w:after="0" w:line="280" w:lineRule="atLeast"/>
        <w:ind w:left="720"/>
        <w:jc w:val="both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bookmarkStart w:id="4" w:name="m_-3668758831455752920__Hlk179962136"/>
      <w:r w:rsidRPr="007D26E0">
        <w:rPr>
          <w:rFonts w:ascii="Wingdings" w:eastAsia="Times New Roman" w:hAnsi="Wingdings" w:cs="Arial"/>
          <w:color w:val="222222"/>
          <w:lang w:eastAsia="tr-TR"/>
        </w:rPr>
        <w:t></w:t>
      </w:r>
      <w:r w:rsidRPr="007D26E0">
        <w:rPr>
          <w:rFonts w:ascii="Times New Roman" w:eastAsia="Times New Roman" w:hAnsi="Times New Roman" w:cs="Times New Roman"/>
          <w:color w:val="222222"/>
          <w:sz w:val="14"/>
          <w:szCs w:val="14"/>
          <w:lang w:eastAsia="tr-TR"/>
        </w:rPr>
        <w:t>  </w:t>
      </w:r>
      <w:r w:rsidRPr="007D26E0">
        <w:rPr>
          <w:rFonts w:ascii="Calibri" w:eastAsia="Times New Roman" w:hAnsi="Calibri" w:cs="Calibri"/>
          <w:i/>
          <w:iCs/>
          <w:color w:val="222222"/>
          <w:lang w:eastAsia="tr-TR"/>
        </w:rPr>
        <w:t xml:space="preserve">Güçlü büyümeye rağmen brüt kar </w:t>
      </w:r>
      <w:proofErr w:type="gramStart"/>
      <w:r w:rsidRPr="007D26E0">
        <w:rPr>
          <w:rFonts w:ascii="Calibri" w:eastAsia="Times New Roman" w:hAnsi="Calibri" w:cs="Calibri"/>
          <w:i/>
          <w:iCs/>
          <w:color w:val="222222"/>
          <w:lang w:eastAsia="tr-TR"/>
        </w:rPr>
        <w:t>marjında</w:t>
      </w:r>
      <w:proofErr w:type="gramEnd"/>
      <w:r w:rsidRPr="007D26E0">
        <w:rPr>
          <w:rFonts w:ascii="Calibri" w:eastAsia="Times New Roman" w:hAnsi="Calibri" w:cs="Calibri"/>
          <w:i/>
          <w:iCs/>
          <w:color w:val="222222"/>
          <w:lang w:eastAsia="tr-TR"/>
        </w:rPr>
        <w:t xml:space="preserve"> ve FAVÖK marjında düşüş görülmesi, net borç pozisyonuna geçilmesi</w:t>
      </w:r>
      <w:bookmarkEnd w:id="4"/>
    </w:p>
    <w:p w:rsidR="007D26E0" w:rsidRPr="007D26E0" w:rsidRDefault="007D26E0" w:rsidP="007D26E0">
      <w:pPr>
        <w:shd w:val="clear" w:color="auto" w:fill="FFFFFF"/>
        <w:spacing w:before="100" w:beforeAutospacing="1" w:after="0" w:line="280" w:lineRule="atLeast"/>
        <w:ind w:left="170"/>
        <w:jc w:val="both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7D26E0">
        <w:rPr>
          <w:rFonts w:ascii="Lucida Console" w:eastAsia="Times New Roman" w:hAnsi="Lucida Console" w:cs="Arial"/>
          <w:color w:val="1F4E79"/>
          <w:sz w:val="14"/>
          <w:szCs w:val="14"/>
          <w:lang w:eastAsia="tr-TR"/>
        </w:rPr>
        <w:t>█</w:t>
      </w:r>
      <w:r w:rsidRPr="007D26E0">
        <w:rPr>
          <w:rFonts w:ascii="Times New Roman" w:eastAsia="Times New Roman" w:hAnsi="Times New Roman" w:cs="Times New Roman"/>
          <w:color w:val="1F4E79"/>
          <w:sz w:val="14"/>
          <w:szCs w:val="14"/>
          <w:lang w:eastAsia="tr-TR"/>
        </w:rPr>
        <w:t> </w:t>
      </w:r>
      <w:r w:rsidRPr="007D26E0">
        <w:rPr>
          <w:rFonts w:ascii="Calibri" w:eastAsia="Times New Roman" w:hAnsi="Calibri" w:cs="Calibri"/>
          <w:b/>
          <w:bCs/>
          <w:color w:val="222222"/>
          <w:lang w:eastAsia="tr-TR"/>
        </w:rPr>
        <w:t>Bilançoya dair kısa değerlendirmemiz</w:t>
      </w:r>
    </w:p>
    <w:p w:rsidR="007D26E0" w:rsidRPr="007D26E0" w:rsidRDefault="007D26E0" w:rsidP="007D26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bookmarkStart w:id="5" w:name="m_-3668758831455752920__Hlk181688326"/>
      <w:r w:rsidRPr="007D26E0">
        <w:rPr>
          <w:rFonts w:ascii="Arial" w:eastAsia="Times New Roman" w:hAnsi="Arial" w:cs="Arial"/>
          <w:color w:val="222222"/>
          <w:lang w:eastAsia="tr-TR"/>
        </w:rPr>
        <w:t>3Ç24 finansalların</w:t>
      </w:r>
      <w:bookmarkEnd w:id="5"/>
      <w:r w:rsidRPr="007D26E0">
        <w:rPr>
          <w:rFonts w:ascii="Arial" w:eastAsia="Times New Roman" w:hAnsi="Arial" w:cs="Arial"/>
          <w:color w:val="222222"/>
          <w:lang w:eastAsia="tr-TR"/>
        </w:rPr>
        <w:t>ı, Şirket’in yatırımlarını devreye alması sonucunda güçlü reel büyüme sayesinde olumlu karşılarken, geçen sene</w:t>
      </w:r>
      <w:r w:rsidRPr="007D26E0">
        <w:rPr>
          <w:rFonts w:ascii="Arial" w:eastAsia="Times New Roman" w:hAnsi="Arial" w:cs="Arial"/>
          <w:lang w:eastAsia="tr-TR"/>
        </w:rPr>
        <w:t>nin</w:t>
      </w:r>
      <w:r w:rsidRPr="007D26E0">
        <w:rPr>
          <w:rFonts w:ascii="Arial" w:eastAsia="Times New Roman" w:hAnsi="Arial" w:cs="Arial"/>
          <w:color w:val="222222"/>
          <w:lang w:eastAsia="tr-TR"/>
        </w:rPr>
        <w:t> aynı dönem</w:t>
      </w:r>
      <w:r w:rsidRPr="007D26E0">
        <w:rPr>
          <w:rFonts w:ascii="Arial" w:eastAsia="Times New Roman" w:hAnsi="Arial" w:cs="Arial"/>
          <w:lang w:eastAsia="tr-TR"/>
        </w:rPr>
        <w:t>in</w:t>
      </w:r>
      <w:r w:rsidRPr="007D26E0">
        <w:rPr>
          <w:rFonts w:ascii="Arial" w:eastAsia="Times New Roman" w:hAnsi="Arial" w:cs="Arial"/>
          <w:color w:val="222222"/>
          <w:lang w:eastAsia="tr-TR"/>
        </w:rPr>
        <w:t xml:space="preserve">e kıyasla </w:t>
      </w:r>
      <w:proofErr w:type="gramStart"/>
      <w:r w:rsidRPr="007D26E0">
        <w:rPr>
          <w:rFonts w:ascii="Arial" w:eastAsia="Times New Roman" w:hAnsi="Arial" w:cs="Arial"/>
          <w:color w:val="222222"/>
          <w:lang w:eastAsia="tr-TR"/>
        </w:rPr>
        <w:t>marjlar</w:t>
      </w:r>
      <w:proofErr w:type="gramEnd"/>
      <w:r w:rsidRPr="007D26E0">
        <w:rPr>
          <w:rFonts w:ascii="Arial" w:eastAsia="Times New Roman" w:hAnsi="Arial" w:cs="Arial"/>
          <w:color w:val="222222"/>
          <w:lang w:eastAsia="tr-TR"/>
        </w:rPr>
        <w:t xml:space="preserve"> daha zayıf performans gösterdi. Sonuçta, sınır</w:t>
      </w:r>
      <w:r w:rsidRPr="007D26E0">
        <w:rPr>
          <w:rFonts w:ascii="Arial" w:eastAsia="Times New Roman" w:hAnsi="Arial" w:cs="Arial"/>
          <w:lang w:eastAsia="tr-TR"/>
        </w:rPr>
        <w:t>lı</w:t>
      </w:r>
      <w:r w:rsidRPr="007D26E0">
        <w:rPr>
          <w:rFonts w:ascii="Arial" w:eastAsia="Times New Roman" w:hAnsi="Arial" w:cs="Arial"/>
          <w:color w:val="222222"/>
          <w:lang w:eastAsia="tr-TR"/>
        </w:rPr>
        <w:t> olumlu olarak değerlendiriyoruz.  </w:t>
      </w:r>
    </w:p>
    <w:p w:rsidR="007D26E0" w:rsidRPr="007D26E0" w:rsidRDefault="007D26E0" w:rsidP="007D26E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7D26E0">
        <w:rPr>
          <w:rFonts w:ascii="Arial" w:eastAsia="Times New Roman" w:hAnsi="Arial" w:cs="Arial"/>
          <w:i/>
          <w:iCs/>
          <w:lang w:eastAsia="tr-TR"/>
        </w:rPr>
        <w:t> </w:t>
      </w:r>
    </w:p>
    <w:p w:rsidR="007D26E0" w:rsidRPr="007D26E0" w:rsidRDefault="007D26E0" w:rsidP="007D26E0">
      <w:pPr>
        <w:shd w:val="clear" w:color="auto" w:fill="FFFFFF"/>
        <w:spacing w:after="0" w:line="28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7D26E0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tr-TR"/>
        </w:rPr>
        <w:t>Genel değerlendirme</w:t>
      </w:r>
      <w:r w:rsidRPr="007D26E0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 Şirket’in net borç pozisyonunu yansıtmamız ve makro setimizde yaptığımız değişikliklerin çerçevesinde, </w:t>
      </w:r>
      <w:proofErr w:type="spellStart"/>
      <w:r w:rsidRPr="007D26E0">
        <w:rPr>
          <w:rFonts w:ascii="Arial" w:eastAsia="Times New Roman" w:hAnsi="Arial" w:cs="Arial"/>
          <w:b/>
          <w:bCs/>
          <w:color w:val="222222"/>
          <w:sz w:val="24"/>
          <w:szCs w:val="24"/>
          <w:lang w:eastAsia="tr-TR"/>
        </w:rPr>
        <w:t>Europap</w:t>
      </w:r>
      <w:proofErr w:type="spellEnd"/>
      <w:r w:rsidRPr="007D26E0">
        <w:rPr>
          <w:rFonts w:ascii="Arial" w:eastAsia="Times New Roman" w:hAnsi="Arial" w:cs="Arial"/>
          <w:b/>
          <w:bCs/>
          <w:color w:val="222222"/>
          <w:sz w:val="24"/>
          <w:szCs w:val="24"/>
          <w:lang w:eastAsia="tr-TR"/>
        </w:rPr>
        <w:t xml:space="preserve"> </w:t>
      </w:r>
      <w:proofErr w:type="spellStart"/>
      <w:r w:rsidRPr="007D26E0">
        <w:rPr>
          <w:rFonts w:ascii="Arial" w:eastAsia="Times New Roman" w:hAnsi="Arial" w:cs="Arial"/>
          <w:b/>
          <w:bCs/>
          <w:color w:val="222222"/>
          <w:sz w:val="24"/>
          <w:szCs w:val="24"/>
          <w:lang w:eastAsia="tr-TR"/>
        </w:rPr>
        <w:t>Tezol</w:t>
      </w:r>
      <w:proofErr w:type="spellEnd"/>
      <w:r w:rsidRPr="007D26E0">
        <w:rPr>
          <w:rFonts w:ascii="Arial" w:eastAsia="Times New Roman" w:hAnsi="Arial" w:cs="Arial"/>
          <w:b/>
          <w:bCs/>
          <w:color w:val="222222"/>
          <w:sz w:val="24"/>
          <w:szCs w:val="24"/>
          <w:lang w:eastAsia="tr-TR"/>
        </w:rPr>
        <w:t xml:space="preserve"> için 12-aylık hedef fiyatımızı 31,22 TL’den 27,50 TL’ye revize ediyoruz, önerimiz ise AL yönündedir.</w:t>
      </w:r>
      <w:r w:rsidRPr="007D26E0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 Hisse, </w:t>
      </w:r>
      <w:proofErr w:type="gramStart"/>
      <w:r w:rsidRPr="007D26E0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yıl başından</w:t>
      </w:r>
      <w:proofErr w:type="gramEnd"/>
      <w:r w:rsidRPr="007D26E0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itibaren BIST 100 endeksinin %23 gerisinde performans göstermiştir. Geriye dönük 12 aylık verilere göre hisse 10,8x FD/FAVÖK çarpanıyla işlem görmektedir.</w:t>
      </w:r>
    </w:p>
    <w:p w:rsidR="007D26E0" w:rsidRPr="007D26E0" w:rsidRDefault="007D26E0" w:rsidP="007D26E0">
      <w:pPr>
        <w:shd w:val="clear" w:color="auto" w:fill="FFFFFF"/>
        <w:spacing w:after="0" w:line="28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7D26E0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 </w:t>
      </w:r>
    </w:p>
    <w:p w:rsidR="007D26E0" w:rsidRPr="007D26E0" w:rsidRDefault="007D26E0" w:rsidP="007D26E0">
      <w:pPr>
        <w:shd w:val="clear" w:color="auto" w:fill="FFFFFF"/>
        <w:spacing w:after="2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</w:p>
    <w:p w:rsidR="0035353A" w:rsidRDefault="0035353A">
      <w:bookmarkStart w:id="6" w:name="_GoBack"/>
      <w:bookmarkEnd w:id="6"/>
    </w:p>
    <w:sectPr w:rsidR="003535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FreeSetC">
    <w:altName w:val="Times New Roman"/>
    <w:panose1 w:val="00000000000000000000"/>
    <w:charset w:val="00"/>
    <w:family w:val="roman"/>
    <w:notTrueType/>
    <w:pitch w:val="default"/>
  </w:font>
  <w:font w:name="Lucida Console">
    <w:panose1 w:val="020B0609040504020204"/>
    <w:charset w:val="A2"/>
    <w:family w:val="modern"/>
    <w:pitch w:val="fixed"/>
    <w:sig w:usb0="8000028F" w:usb1="00001800" w:usb2="00000000" w:usb3="00000000" w:csb0="0000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65077"/>
    <w:multiLevelType w:val="multilevel"/>
    <w:tmpl w:val="76A4D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6E0"/>
    <w:rsid w:val="0035353A"/>
    <w:rsid w:val="007D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4C8539-49AF-4BE6-9EC1-E91799DBC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2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5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FOREKS</dc:creator>
  <cp:keywords/>
  <dc:description/>
  <cp:lastModifiedBy>FOREKS</cp:lastModifiedBy>
  <cp:revision>1</cp:revision>
  <dcterms:created xsi:type="dcterms:W3CDTF">2024-11-12T06:16:00Z</dcterms:created>
  <dcterms:modified xsi:type="dcterms:W3CDTF">2024-11-12T06:17:00Z</dcterms:modified>
</cp:coreProperties>
</file>