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4F51" w:rsidRDefault="004A4E14">
      <w:r>
        <w:t xml:space="preserve">Haftanın son işlem gününü S&amp;P 500 yatay tamamlarken Dow </w:t>
      </w:r>
      <w:proofErr w:type="spellStart"/>
      <w:r>
        <w:t>Jones</w:t>
      </w:r>
      <w:proofErr w:type="spellEnd"/>
      <w:r>
        <w:t xml:space="preserve"> Endeksi günü negatif, </w:t>
      </w:r>
      <w:proofErr w:type="spellStart"/>
      <w:r>
        <w:t>Nasdaq</w:t>
      </w:r>
      <w:proofErr w:type="spellEnd"/>
      <w:r>
        <w:t xml:space="preserve"> Endeksi ise pozitif tarafta noktaladı. </w:t>
      </w:r>
      <w:proofErr w:type="spellStart"/>
      <w:r>
        <w:t>Sektörel</w:t>
      </w:r>
      <w:proofErr w:type="spellEnd"/>
      <w:r>
        <w:t xml:space="preserve"> bazda ise S&amp;P 500 İletişim Hizmetleri Sektörü Endeksin %1,2’lik kayıpla gününü en fazla kaybettireni olurken %0,4 artan S&amp;P 500 Teknoloji Sektörü Endeksi günün en fazla kazandıranı oldu. Çarşamba günkü </w:t>
      </w:r>
      <w:proofErr w:type="spellStart"/>
      <w:r>
        <w:t>Fed’in</w:t>
      </w:r>
      <w:proofErr w:type="spellEnd"/>
      <w:r>
        <w:t xml:space="preserve"> politika faizi kararı öncesinde hem ABD hem de Avrupa borsalarının güne yatay bir başlangıç yapması beklenmekte. Teknik tarafta S&amp;P 500 için </w:t>
      </w:r>
      <w:r w:rsidRPr="004A4E14">
        <w:t>6.185</w:t>
      </w:r>
      <w:r w:rsidRPr="004A4E14">
        <w:t>-6.219 dirençler, 6.007-5.910 destekler olarak değerlendirilebilir.</w:t>
      </w:r>
    </w:p>
    <w:p w:rsidR="00657A61" w:rsidRDefault="00657A61"/>
    <w:p w:rsidR="00657A61" w:rsidRDefault="00657A61">
      <w:r>
        <w:rPr>
          <w:noProof/>
        </w:rPr>
        <w:drawing>
          <wp:inline distT="0" distB="0" distL="0" distR="0" wp14:anchorId="6C97ABB4" wp14:editId="1EB84997">
            <wp:extent cx="5760720" cy="298424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984242"/>
                    </a:xfrm>
                    <a:prstGeom prst="rect">
                      <a:avLst/>
                    </a:prstGeom>
                    <a:noFill/>
                    <a:ln>
                      <a:noFill/>
                    </a:ln>
                  </pic:spPr>
                </pic:pic>
              </a:graphicData>
            </a:graphic>
          </wp:inline>
        </w:drawing>
      </w:r>
    </w:p>
    <w:p w:rsidR="00657A61" w:rsidRDefault="00657A61"/>
    <w:p w:rsidR="004A4E14" w:rsidRPr="00657A61" w:rsidRDefault="00657A61" w:rsidP="00657A61">
      <w:pPr>
        <w:pStyle w:val="ListParagraph"/>
        <w:rPr>
          <w:b/>
        </w:rPr>
      </w:pPr>
      <w:r w:rsidRPr="00B163E0">
        <w:rPr>
          <w:b/>
        </w:rPr>
        <w:t>ABD</w:t>
      </w:r>
    </w:p>
    <w:p w:rsidR="004A4E14" w:rsidRDefault="004A4E14"/>
    <w:p w:rsidR="005C5537" w:rsidRDefault="004A4E14" w:rsidP="005C5537">
      <w:pPr>
        <w:pStyle w:val="ListParagraph"/>
        <w:numPr>
          <w:ilvl w:val="0"/>
          <w:numId w:val="2"/>
        </w:numPr>
      </w:pPr>
      <w:proofErr w:type="spellStart"/>
      <w:r>
        <w:t>Broadcom</w:t>
      </w:r>
      <w:proofErr w:type="spellEnd"/>
      <w:r>
        <w:t xml:space="preserve"> (AVGO) hisseleri,</w:t>
      </w:r>
      <w:r>
        <w:t xml:space="preserve"> şirketin mali dördüncü çeyrek </w:t>
      </w:r>
      <w:r w:rsidR="00A57D6B">
        <w:t>kar</w:t>
      </w:r>
      <w:r>
        <w:t xml:space="preserve"> beklentilerini aşması ve yapay zeka </w:t>
      </w:r>
      <w:r w:rsidR="005C5537">
        <w:t>cirosunun</w:t>
      </w:r>
      <w:r>
        <w:t xml:space="preserve"> yıl için üç kattan fazla </w:t>
      </w:r>
      <w:proofErr w:type="spellStart"/>
      <w:r>
        <w:t>artar</w:t>
      </w:r>
      <w:r w:rsidR="005C5537">
        <w:t>masının</w:t>
      </w:r>
      <w:proofErr w:type="spellEnd"/>
      <w:r w:rsidR="005C5537">
        <w:t xml:space="preserve"> ardından cuma günkü işlemlerde %24,4 değer kazandı.</w:t>
      </w:r>
    </w:p>
    <w:p w:rsidR="005C5537" w:rsidRDefault="005C5537" w:rsidP="004A4E14"/>
    <w:p w:rsidR="004A4E14" w:rsidRDefault="004A4E14" w:rsidP="005C5537">
      <w:pPr>
        <w:pStyle w:val="ListParagraph"/>
        <w:numPr>
          <w:ilvl w:val="0"/>
          <w:numId w:val="2"/>
        </w:numPr>
      </w:pPr>
      <w:proofErr w:type="spellStart"/>
      <w:r>
        <w:t>Tesla</w:t>
      </w:r>
      <w:proofErr w:type="spellEnd"/>
      <w:r>
        <w:t xml:space="preserve"> </w:t>
      </w:r>
      <w:r w:rsidR="005C5537">
        <w:t xml:space="preserve">(TSLA) hisseleri, ABD </w:t>
      </w:r>
      <w:r>
        <w:t>Başkan</w:t>
      </w:r>
      <w:r w:rsidR="005C5537">
        <w:t>ı</w:t>
      </w:r>
      <w:r>
        <w:t xml:space="preserve"> seçilen Donald </w:t>
      </w:r>
      <w:proofErr w:type="spellStart"/>
      <w:r>
        <w:t>Trump'ın</w:t>
      </w:r>
      <w:proofErr w:type="spellEnd"/>
      <w:r>
        <w:t xml:space="preserve"> ekibinin araba kazası raporlama zorunluluğunun sona erdirilmesini önerdiğini bildirmesinin ardından yaklaşık %4,3 değer kazandı. </w:t>
      </w:r>
    </w:p>
    <w:p w:rsidR="005C5537" w:rsidRDefault="005C5537" w:rsidP="004A4E14"/>
    <w:p w:rsidR="004A4E14" w:rsidRDefault="004A4E14" w:rsidP="005C5537">
      <w:pPr>
        <w:pStyle w:val="ListParagraph"/>
        <w:numPr>
          <w:ilvl w:val="0"/>
          <w:numId w:val="2"/>
        </w:numPr>
      </w:pPr>
      <w:proofErr w:type="spellStart"/>
      <w:r>
        <w:t>Walgreens</w:t>
      </w:r>
      <w:proofErr w:type="spellEnd"/>
      <w:r>
        <w:t xml:space="preserve"> </w:t>
      </w:r>
      <w:proofErr w:type="spellStart"/>
      <w:r>
        <w:t>Boots</w:t>
      </w:r>
      <w:proofErr w:type="spellEnd"/>
      <w:r>
        <w:t xml:space="preserve"> </w:t>
      </w:r>
      <w:proofErr w:type="spellStart"/>
      <w:r>
        <w:t>Alliance</w:t>
      </w:r>
      <w:proofErr w:type="spellEnd"/>
      <w:r w:rsidR="005C5537">
        <w:t xml:space="preserve"> (WBA) hisseleri,</w:t>
      </w:r>
      <w:r>
        <w:t xml:space="preserve"> </w:t>
      </w:r>
      <w:proofErr w:type="spellStart"/>
      <w:r>
        <w:t>Sycamore</w:t>
      </w:r>
      <w:proofErr w:type="spellEnd"/>
      <w:r>
        <w:t xml:space="preserve"> </w:t>
      </w:r>
      <w:proofErr w:type="spellStart"/>
      <w:r>
        <w:t>Partners'ın</w:t>
      </w:r>
      <w:proofErr w:type="spellEnd"/>
      <w:r w:rsidR="005C5537">
        <w:t xml:space="preserve"> şirketi</w:t>
      </w:r>
      <w:r>
        <w:t xml:space="preserve"> satın almak için bankalardan fon sağladığını bildirmesinin ardından %5 yükseldi. </w:t>
      </w:r>
    </w:p>
    <w:p w:rsidR="005C5537" w:rsidRDefault="005C5537" w:rsidP="004A4E14"/>
    <w:p w:rsidR="005C5537" w:rsidRDefault="004A4E14" w:rsidP="005C5537">
      <w:pPr>
        <w:pStyle w:val="ListParagraph"/>
        <w:numPr>
          <w:ilvl w:val="0"/>
          <w:numId w:val="2"/>
        </w:numPr>
      </w:pPr>
      <w:proofErr w:type="spellStart"/>
      <w:r>
        <w:t>Centene</w:t>
      </w:r>
      <w:proofErr w:type="spellEnd"/>
      <w:r>
        <w:t xml:space="preserve"> </w:t>
      </w:r>
      <w:r w:rsidR="005C5537">
        <w:t xml:space="preserve">(CNC) hisseleri, </w:t>
      </w:r>
      <w:proofErr w:type="spellStart"/>
      <w:r w:rsidR="005C5537">
        <w:t>UBS'in</w:t>
      </w:r>
      <w:proofErr w:type="spellEnd"/>
      <w:r w:rsidR="005C5537">
        <w:t xml:space="preserve"> s</w:t>
      </w:r>
      <w:r>
        <w:t>ağlık hizmetleri</w:t>
      </w:r>
      <w:r w:rsidR="005C5537">
        <w:t xml:space="preserve"> </w:t>
      </w:r>
      <w:proofErr w:type="spellStart"/>
      <w:r w:rsidR="005C5537">
        <w:t>şirketini</w:t>
      </w:r>
      <w:r>
        <w:t xml:space="preserve"> </w:t>
      </w:r>
      <w:proofErr w:type="spellEnd"/>
      <w:r>
        <w:t>nötrden satın al</w:t>
      </w:r>
      <w:r w:rsidR="005C5537">
        <w:t xml:space="preserve"> seviyesine</w:t>
      </w:r>
      <w:r>
        <w:t xml:space="preserve"> yükseltmesinin ardından yaklaşık %2,5 yükseldi</w:t>
      </w:r>
      <w:r w:rsidR="005C5537">
        <w:t>.</w:t>
      </w:r>
    </w:p>
    <w:p w:rsidR="005C5537" w:rsidRDefault="005C5537" w:rsidP="004A4E14"/>
    <w:p w:rsidR="004A4E14" w:rsidRDefault="004A4E14" w:rsidP="005C5537">
      <w:pPr>
        <w:pStyle w:val="ListParagraph"/>
        <w:numPr>
          <w:ilvl w:val="0"/>
          <w:numId w:val="2"/>
        </w:numPr>
      </w:pPr>
      <w:r>
        <w:t xml:space="preserve">RH </w:t>
      </w:r>
      <w:r w:rsidR="005C5537">
        <w:t>(RH) hisseleri,</w:t>
      </w:r>
      <w:r>
        <w:t xml:space="preserve"> </w:t>
      </w:r>
      <w:r w:rsidR="005C5537">
        <w:t>l</w:t>
      </w:r>
      <w:r>
        <w:t xml:space="preserve">üks mobilya perakendecisinin </w:t>
      </w:r>
      <w:r w:rsidR="005C5537">
        <w:t>talebin hızlanmasını gerekçe göstererek dördüncü çeyrek gelirinin bir önceki yıla göre %18 ila %20 arasında artacağını tahmin etmesinin ardında</w:t>
      </w:r>
      <w:r w:rsidR="005C5537">
        <w:t xml:space="preserve">n </w:t>
      </w:r>
      <w:r>
        <w:t xml:space="preserve">yaklaşık %17 </w:t>
      </w:r>
      <w:r w:rsidR="005C5537">
        <w:t>arttı.</w:t>
      </w:r>
    </w:p>
    <w:p w:rsidR="005C5537" w:rsidRDefault="005C5537" w:rsidP="005C5537"/>
    <w:p w:rsidR="005C5537" w:rsidRDefault="005C5537" w:rsidP="005C5537">
      <w:pPr>
        <w:pStyle w:val="ListParagraph"/>
      </w:pPr>
    </w:p>
    <w:p w:rsidR="004A4E14" w:rsidRDefault="004A4E14" w:rsidP="005C5537">
      <w:pPr>
        <w:pStyle w:val="ListParagraph"/>
        <w:numPr>
          <w:ilvl w:val="0"/>
          <w:numId w:val="2"/>
        </w:numPr>
      </w:pPr>
      <w:proofErr w:type="spellStart"/>
      <w:r>
        <w:t>Ciena</w:t>
      </w:r>
      <w:proofErr w:type="spellEnd"/>
      <w:r>
        <w:t xml:space="preserve"> </w:t>
      </w:r>
      <w:r w:rsidR="005C5537">
        <w:t>(CUEN) hisseleri, a</w:t>
      </w:r>
      <w:r>
        <w:t xml:space="preserve">ğ ekipmanı şirketinin üç </w:t>
      </w:r>
      <w:r w:rsidR="005C5537">
        <w:t xml:space="preserve">ciro </w:t>
      </w:r>
      <w:r>
        <w:t xml:space="preserve">beklentilerini aşması ve 2025 mali yılı için </w:t>
      </w:r>
      <w:r w:rsidR="005C5537">
        <w:t>ciro</w:t>
      </w:r>
      <w:r>
        <w:t xml:space="preserve"> beklentisini yükseltmesinin ardından %15</w:t>
      </w:r>
      <w:r w:rsidR="005C5537">
        <w:t xml:space="preserve"> değer kazandı. </w:t>
      </w:r>
    </w:p>
    <w:p w:rsidR="00A44F51" w:rsidRDefault="00A44F51"/>
    <w:p w:rsidR="00657A61" w:rsidRPr="00B163E0" w:rsidRDefault="00657A61" w:rsidP="00657A61">
      <w:pPr>
        <w:rPr>
          <w:b/>
        </w:rPr>
      </w:pPr>
      <w:r w:rsidRPr="00B163E0">
        <w:rPr>
          <w:b/>
        </w:rPr>
        <w:t>Avrupa</w:t>
      </w:r>
    </w:p>
    <w:p w:rsidR="00A44F51" w:rsidRDefault="00A44F51"/>
    <w:p w:rsidR="00A44F51" w:rsidRDefault="00A44F51"/>
    <w:p w:rsidR="00A44F51" w:rsidRDefault="00A44F51" w:rsidP="00A44F51">
      <w:pPr>
        <w:pStyle w:val="ListParagraph"/>
        <w:numPr>
          <w:ilvl w:val="0"/>
          <w:numId w:val="1"/>
        </w:numPr>
      </w:pPr>
      <w:proofErr w:type="spellStart"/>
      <w:r w:rsidRPr="00A44F51">
        <w:t>Munchener</w:t>
      </w:r>
      <w:proofErr w:type="spellEnd"/>
      <w:r w:rsidRPr="00A44F51">
        <w:t xml:space="preserve"> </w:t>
      </w:r>
      <w:proofErr w:type="spellStart"/>
      <w:r w:rsidRPr="00A44F51">
        <w:t>Ruck</w:t>
      </w:r>
      <w:proofErr w:type="spellEnd"/>
      <w:r>
        <w:t xml:space="preserve"> (</w:t>
      </w:r>
      <w:proofErr w:type="spellStart"/>
      <w:r>
        <w:t>MUVGn</w:t>
      </w:r>
      <w:proofErr w:type="spellEnd"/>
      <w:r>
        <w:t xml:space="preserve">) hisseleri, cuma günü %5,6 yükselerek Euro </w:t>
      </w:r>
      <w:proofErr w:type="spellStart"/>
      <w:r>
        <w:t>Stoxx</w:t>
      </w:r>
      <w:proofErr w:type="spellEnd"/>
      <w:r>
        <w:t xml:space="preserve"> 50 Endeksi’nin en fazla değer kazananı oldu.</w:t>
      </w:r>
    </w:p>
    <w:p w:rsidR="00A44F51" w:rsidRDefault="00A44F51" w:rsidP="00A44F51">
      <w:pPr>
        <w:pStyle w:val="ListParagraph"/>
      </w:pPr>
    </w:p>
    <w:p w:rsidR="00A44F51" w:rsidRDefault="00A44F51" w:rsidP="00A44F51">
      <w:pPr>
        <w:pStyle w:val="ListParagraph"/>
        <w:numPr>
          <w:ilvl w:val="0"/>
          <w:numId w:val="1"/>
        </w:numPr>
      </w:pPr>
      <w:r w:rsidRPr="00A44F51">
        <w:t>BAYER AG (</w:t>
      </w:r>
      <w:proofErr w:type="spellStart"/>
      <w:r w:rsidRPr="00A44F51">
        <w:t>BAYGn</w:t>
      </w:r>
      <w:proofErr w:type="spellEnd"/>
      <w:r w:rsidRPr="00A44F51">
        <w:t>)</w:t>
      </w:r>
      <w:r>
        <w:t xml:space="preserve"> hisseleri, haftanın son işlem gününde %2,1 düşerek </w:t>
      </w:r>
      <w:r>
        <w:t xml:space="preserve">Euro </w:t>
      </w:r>
      <w:proofErr w:type="spellStart"/>
      <w:r>
        <w:t>Stoxx</w:t>
      </w:r>
      <w:proofErr w:type="spellEnd"/>
      <w:r>
        <w:t xml:space="preserve"> 50 Endeksi’nin en fazla değer k</w:t>
      </w:r>
      <w:r>
        <w:t xml:space="preserve">aybedeni </w:t>
      </w:r>
      <w:r>
        <w:t>oldu</w:t>
      </w:r>
      <w:r>
        <w:t>.</w:t>
      </w:r>
    </w:p>
    <w:p w:rsidR="00A44F51" w:rsidRDefault="00A44F51"/>
    <w:p w:rsidR="00657A61" w:rsidRDefault="00657A61" w:rsidP="00657A61">
      <w:pPr>
        <w:pStyle w:val="Heading1"/>
      </w:pPr>
      <w:r>
        <w:rPr>
          <w:rFonts w:ascii="Arial" w:hAnsi="Arial"/>
          <w:color w:val="860851"/>
        </w:rPr>
        <w:t xml:space="preserve">Global </w:t>
      </w:r>
      <w:proofErr w:type="spellStart"/>
      <w:r>
        <w:rPr>
          <w:rFonts w:ascii="Arial" w:hAnsi="Arial"/>
          <w:color w:val="860851"/>
        </w:rPr>
        <w:t>Piyasalarda</w:t>
      </w:r>
      <w:proofErr w:type="spellEnd"/>
      <w:r>
        <w:rPr>
          <w:rFonts w:ascii="Arial" w:hAnsi="Arial"/>
          <w:color w:val="860851"/>
        </w:rPr>
        <w:t xml:space="preserve"> Teknik </w:t>
      </w:r>
      <w:proofErr w:type="spellStart"/>
      <w:r>
        <w:rPr>
          <w:rFonts w:ascii="Arial" w:hAnsi="Arial"/>
          <w:color w:val="860851"/>
        </w:rPr>
        <w:t>Görünüm</w:t>
      </w:r>
      <w:proofErr w:type="spellEnd"/>
    </w:p>
    <w:p w:rsidR="00657A61" w:rsidRDefault="00657A61" w:rsidP="00657A61">
      <w:pPr>
        <w:pStyle w:val="Heading1"/>
      </w:pPr>
      <w:r>
        <w:rPr>
          <w:rFonts w:ascii="Arial" w:hAnsi="Arial"/>
          <w:color w:val="860851"/>
        </w:rPr>
        <w:t>S&amp;P 500 ENDEKSI</w:t>
      </w:r>
    </w:p>
    <w:p w:rsidR="00657A61" w:rsidRDefault="00657A61" w:rsidP="00657A61">
      <w:r>
        <w:rPr>
          <w:noProof/>
        </w:rPr>
        <w:drawing>
          <wp:inline distT="0" distB="0" distL="0" distR="0" wp14:anchorId="619620A3" wp14:editId="576F0759">
            <wp:extent cx="6400800" cy="41666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PC.png"/>
                    <pic:cNvPicPr/>
                  </pic:nvPicPr>
                  <pic:blipFill>
                    <a:blip r:embed="rId9"/>
                    <a:stretch>
                      <a:fillRect/>
                    </a:stretch>
                  </pic:blipFill>
                  <pic:spPr>
                    <a:xfrm>
                      <a:off x="0" y="0"/>
                      <a:ext cx="6400800" cy="4166693"/>
                    </a:xfrm>
                    <a:prstGeom prst="rect">
                      <a:avLst/>
                    </a:prstGeom>
                  </pic:spPr>
                </pic:pic>
              </a:graphicData>
            </a:graphic>
          </wp:inline>
        </w:drawing>
      </w:r>
    </w:p>
    <w:p w:rsidR="00657A61" w:rsidRDefault="00657A61" w:rsidP="00657A61">
      <w:r>
        <w:rPr>
          <w:rFonts w:ascii="Arial" w:hAnsi="Arial"/>
        </w:rPr>
        <w:t>S&amp;P 500 Endeksi, 20 günlük hareketli ortalaması olan 6.008 seviyesinin üzerinde fiyatlanıyor. Bu durum S&amp;P 500 Endeksi için aylık periyotta pozitif bir görüntü çiziyor. Son günde yapılan işlemlerde ise en yüksek 6.078 seviyesinde işlem gördükten sonra günü 6.051 seviyesinde tamamladı. Öte yandan, trend göstergelerinden biri olan MACD çizgileri sat konumunda, sıfır çizgisinin üzerinde hareket ediyor. 6.185-6.219 dirençler, 6.007-5.910 destekler olarak değerlendirilebilir.</w:t>
      </w:r>
    </w:p>
    <w:p w:rsidR="00657A61" w:rsidRDefault="00657A61" w:rsidP="00657A61">
      <w:pPr>
        <w:pStyle w:val="Heading1"/>
      </w:pPr>
      <w:r>
        <w:rPr>
          <w:rFonts w:ascii="Arial" w:hAnsi="Arial"/>
          <w:color w:val="860851"/>
        </w:rPr>
        <w:t>DOW JONES ENDEKSI</w:t>
      </w:r>
    </w:p>
    <w:p w:rsidR="00657A61" w:rsidRDefault="00657A61" w:rsidP="00657A61">
      <w:r>
        <w:rPr>
          <w:noProof/>
        </w:rPr>
        <w:drawing>
          <wp:inline distT="0" distB="0" distL="0" distR="0" wp14:anchorId="5979BE04" wp14:editId="2E7B93BE">
            <wp:extent cx="6400800" cy="41297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png"/>
                    <pic:cNvPicPr/>
                  </pic:nvPicPr>
                  <pic:blipFill>
                    <a:blip r:embed="rId10"/>
                    <a:stretch>
                      <a:fillRect/>
                    </a:stretch>
                  </pic:blipFill>
                  <pic:spPr>
                    <a:xfrm>
                      <a:off x="0" y="0"/>
                      <a:ext cx="6400800" cy="4129798"/>
                    </a:xfrm>
                    <a:prstGeom prst="rect">
                      <a:avLst/>
                    </a:prstGeom>
                  </pic:spPr>
                </pic:pic>
              </a:graphicData>
            </a:graphic>
          </wp:inline>
        </w:drawing>
      </w:r>
    </w:p>
    <w:p w:rsidR="00657A61" w:rsidRDefault="00657A61" w:rsidP="00657A61">
      <w:r>
        <w:rPr>
          <w:rFonts w:ascii="Arial" w:hAnsi="Arial"/>
        </w:rPr>
        <w:t xml:space="preserve">Dow </w:t>
      </w:r>
      <w:proofErr w:type="spellStart"/>
      <w:r>
        <w:rPr>
          <w:rFonts w:ascii="Arial" w:hAnsi="Arial"/>
        </w:rPr>
        <w:t>Jones</w:t>
      </w:r>
      <w:proofErr w:type="spellEnd"/>
      <w:r>
        <w:rPr>
          <w:rFonts w:ascii="Arial" w:hAnsi="Arial"/>
        </w:rPr>
        <w:t xml:space="preserve"> Endeksi için günlük değişim </w:t>
      </w:r>
      <w:proofErr w:type="gramStart"/>
      <w:r>
        <w:rPr>
          <w:rFonts w:ascii="Arial" w:hAnsi="Arial"/>
        </w:rPr>
        <w:t>%0.2</w:t>
      </w:r>
      <w:proofErr w:type="gramEnd"/>
      <w:r>
        <w:rPr>
          <w:rFonts w:ascii="Arial" w:hAnsi="Arial"/>
        </w:rPr>
        <w:t xml:space="preserve"> düşüşle gerçekleşmiş oldu. Kısa vadede negatif görünüm mevcuttur. Yukarı yönlü hareketlerde izlenebilecek birinci direnç 44.820 olurken destek olarak 43.546 izlenebilir.</w:t>
      </w:r>
    </w:p>
    <w:p w:rsidR="00657A61" w:rsidRDefault="00657A61" w:rsidP="00657A61">
      <w:pPr>
        <w:pStyle w:val="Heading1"/>
      </w:pPr>
      <w:r>
        <w:rPr>
          <w:rFonts w:ascii="Arial" w:hAnsi="Arial"/>
          <w:color w:val="860851"/>
        </w:rPr>
        <w:t>NASDAQ ENDEKSI</w:t>
      </w:r>
    </w:p>
    <w:p w:rsidR="00657A61" w:rsidRDefault="00657A61" w:rsidP="00657A61">
      <w:r>
        <w:rPr>
          <w:noProof/>
        </w:rPr>
        <w:drawing>
          <wp:inline distT="0" distB="0" distL="0" distR="0" wp14:anchorId="55DFB644" wp14:editId="02602B2B">
            <wp:extent cx="6400800" cy="41297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XIC.png"/>
                    <pic:cNvPicPr/>
                  </pic:nvPicPr>
                  <pic:blipFill>
                    <a:blip r:embed="rId11"/>
                    <a:stretch>
                      <a:fillRect/>
                    </a:stretch>
                  </pic:blipFill>
                  <pic:spPr>
                    <a:xfrm>
                      <a:off x="0" y="0"/>
                      <a:ext cx="6400800" cy="4129798"/>
                    </a:xfrm>
                    <a:prstGeom prst="rect">
                      <a:avLst/>
                    </a:prstGeom>
                  </pic:spPr>
                </pic:pic>
              </a:graphicData>
            </a:graphic>
          </wp:inline>
        </w:drawing>
      </w:r>
    </w:p>
    <w:p w:rsidR="00657A61" w:rsidRDefault="00657A61" w:rsidP="00657A61">
      <w:proofErr w:type="spellStart"/>
      <w:r>
        <w:rPr>
          <w:rFonts w:ascii="Arial" w:hAnsi="Arial"/>
        </w:rPr>
        <w:t>Nasdaq</w:t>
      </w:r>
      <w:proofErr w:type="spellEnd"/>
      <w:r>
        <w:rPr>
          <w:rFonts w:ascii="Arial" w:hAnsi="Arial"/>
        </w:rPr>
        <w:t xml:space="preserve"> Endeksi kapanışla birlikte %0.12 yükseliş gerçekleştirdi. Güne 19.995 seviyesinde başladı ve gün içinde en yüksek 20.061, en düşük 19.817 seviyesinden işlem gördü. Kapanışı ise 19.926 seviyesinde tamamladı. Son kapanış 5 günlük hareketli ortalamanın üzerinde gerçekleşti. MACD çizgisi sinyal çizgisinin üzerinde, pozitif bölgede yer alıyor. Yukarı yönlü hareketlerde izlenebilecek birinci direnç 20.382 olurken destek olarak 19.761 izlenebilir.</w:t>
      </w:r>
    </w:p>
    <w:p w:rsidR="00657A61" w:rsidRDefault="00657A61" w:rsidP="00657A61">
      <w:pPr>
        <w:pStyle w:val="Heading1"/>
      </w:pPr>
      <w:r>
        <w:rPr>
          <w:rFonts w:ascii="Arial" w:hAnsi="Arial"/>
          <w:color w:val="860851"/>
        </w:rPr>
        <w:t>EUR/USD</w:t>
      </w:r>
    </w:p>
    <w:p w:rsidR="00657A61" w:rsidRDefault="00657A61" w:rsidP="00657A61">
      <w:r>
        <w:rPr>
          <w:noProof/>
        </w:rPr>
        <w:drawing>
          <wp:inline distT="0" distB="0" distL="0" distR="0" wp14:anchorId="3E64C9A4" wp14:editId="3B987B30">
            <wp:extent cx="6400800" cy="40189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USD=X.png"/>
                    <pic:cNvPicPr/>
                  </pic:nvPicPr>
                  <pic:blipFill>
                    <a:blip r:embed="rId12"/>
                    <a:stretch>
                      <a:fillRect/>
                    </a:stretch>
                  </pic:blipFill>
                  <pic:spPr>
                    <a:xfrm>
                      <a:off x="0" y="0"/>
                      <a:ext cx="6400800" cy="4018990"/>
                    </a:xfrm>
                    <a:prstGeom prst="rect">
                      <a:avLst/>
                    </a:prstGeom>
                  </pic:spPr>
                </pic:pic>
              </a:graphicData>
            </a:graphic>
          </wp:inline>
        </w:drawing>
      </w:r>
    </w:p>
    <w:p w:rsidR="00657A61" w:rsidRDefault="00657A61" w:rsidP="00657A61">
      <w:r>
        <w:rPr>
          <w:rFonts w:ascii="Arial" w:hAnsi="Arial"/>
        </w:rPr>
        <w:t xml:space="preserve">EUR/USD haftalık bakıldığında %0.486 aşağıda, aylık bakıldığında ise %0.186 aşağıda seyrederken güncel olarak 1,051 seviyesinden işlem görüyor. Teknik göstergelere bakıldığında MACD çizgisi sinyal çizgisinin üzerinde, negatif bölgede yer alıyor. Ayrıca RSI değerine göre aşırı alım veya satım bölgesinde olmadığı gözleniyor. İşlem yaparken 1,073 ve 1,078 dirençleri </w:t>
      </w:r>
      <w:proofErr w:type="gramStart"/>
      <w:r>
        <w:rPr>
          <w:rFonts w:ascii="Arial" w:hAnsi="Arial"/>
        </w:rPr>
        <w:t>ve  1,043</w:t>
      </w:r>
      <w:proofErr w:type="gramEnd"/>
      <w:r>
        <w:rPr>
          <w:rFonts w:ascii="Arial" w:hAnsi="Arial"/>
        </w:rPr>
        <w:t xml:space="preserve"> ve 1,028 destekleri izlenebilir.</w:t>
      </w:r>
    </w:p>
    <w:p w:rsidR="00657A61" w:rsidRDefault="00657A61" w:rsidP="00657A61">
      <w:pPr>
        <w:pStyle w:val="Heading1"/>
      </w:pPr>
      <w:r>
        <w:rPr>
          <w:rFonts w:ascii="Arial" w:hAnsi="Arial"/>
          <w:color w:val="860851"/>
        </w:rPr>
        <w:t>ONS ALTIN</w:t>
      </w:r>
    </w:p>
    <w:p w:rsidR="00657A61" w:rsidRDefault="00657A61" w:rsidP="00657A61">
      <w:r>
        <w:rPr>
          <w:noProof/>
        </w:rPr>
        <w:drawing>
          <wp:inline distT="0" distB="0" distL="0" distR="0" wp14:anchorId="63BAAC6A" wp14:editId="0B753F65">
            <wp:extent cx="6400800" cy="41666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F.png"/>
                    <pic:cNvPicPr/>
                  </pic:nvPicPr>
                  <pic:blipFill>
                    <a:blip r:embed="rId13"/>
                    <a:stretch>
                      <a:fillRect/>
                    </a:stretch>
                  </pic:blipFill>
                  <pic:spPr>
                    <a:xfrm>
                      <a:off x="0" y="0"/>
                      <a:ext cx="6400800" cy="4166693"/>
                    </a:xfrm>
                    <a:prstGeom prst="rect">
                      <a:avLst/>
                    </a:prstGeom>
                  </pic:spPr>
                </pic:pic>
              </a:graphicData>
            </a:graphic>
          </wp:inline>
        </w:drawing>
      </w:r>
    </w:p>
    <w:p w:rsidR="00657A61" w:rsidRDefault="00657A61" w:rsidP="00657A61">
      <w:r>
        <w:rPr>
          <w:rFonts w:ascii="Arial" w:hAnsi="Arial"/>
        </w:rPr>
        <w:t xml:space="preserve">Geçtiğimiz günü </w:t>
      </w:r>
      <w:proofErr w:type="gramStart"/>
      <w:r>
        <w:rPr>
          <w:rFonts w:ascii="Arial" w:hAnsi="Arial"/>
        </w:rPr>
        <w:t>%0.62</w:t>
      </w:r>
      <w:proofErr w:type="gramEnd"/>
      <w:r>
        <w:rPr>
          <w:rFonts w:ascii="Arial" w:hAnsi="Arial"/>
        </w:rPr>
        <w:t xml:space="preserve"> yükselişle tamamladı. Ons Altın 20 günlük hareketli ortalamasının üzerinde kapanış gerçekleştirdi.20-50-200 günlük hareketli ortalamalar 2.655, 2.670, 2.454 olarak sıralanabilir. Yukarı yönlü hareketlerde izlenebilecek birinci direnç 2.726 olurken destek olarak 2.650 izlenebilir.</w:t>
      </w:r>
    </w:p>
    <w:p w:rsidR="00657A61" w:rsidRDefault="00657A61"/>
    <w:sectPr w:rsidR="00657A61" w:rsidSect="00657A61">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7E81" w:rsidRDefault="00077E81" w:rsidP="004A4E14">
      <w:pPr>
        <w:spacing w:after="0" w:line="240" w:lineRule="auto"/>
      </w:pPr>
      <w:r>
        <w:separator/>
      </w:r>
    </w:p>
  </w:endnote>
  <w:endnote w:type="continuationSeparator" w:id="0">
    <w:p w:rsidR="00077E81" w:rsidRDefault="00077E81" w:rsidP="004A4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4E14" w:rsidRDefault="004A4E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4E14" w:rsidRDefault="00657A61" w:rsidP="00657A61">
    <w:pPr>
      <w:pStyle w:val="Footer"/>
      <w:jc w:val="right"/>
    </w:pPr>
    <w:bookmarkStart w:id="0" w:name="DocumentMarkings1FooterPrimary"/>
    <w:r w:rsidRPr="00657A61">
      <w:rPr>
        <w:rFonts w:ascii="Calibri" w:hAnsi="Calibri" w:cs="Calibri"/>
        <w:color w:val="000000"/>
        <w:sz w:val="16"/>
        <w:shd w:val="clear" w:color="auto" w:fill="FFFFFF"/>
      </w:rPr>
      <w:t>Sınıflandırma: </w:t>
    </w:r>
    <w:r w:rsidRPr="00657A61">
      <w:rPr>
        <w:rFonts w:ascii="Calibri" w:hAnsi="Calibri" w:cs="Calibri"/>
        <w:b/>
        <w:color w:val="009900"/>
        <w:sz w:val="16"/>
        <w:shd w:val="clear" w:color="auto" w:fill="FFFFFF"/>
      </w:rPr>
      <w:t>Genel</w:t>
    </w:r>
    <w:r w:rsidRPr="00657A61">
      <w:rPr>
        <w:rFonts w:ascii="Calibri" w:hAnsi="Calibri" w:cs="Calibri"/>
        <w:b/>
        <w:color w:val="000000"/>
        <w:sz w:val="16"/>
        <w:shd w:val="clear" w:color="auto" w:fill="FFFFFF"/>
      </w:rPr>
      <w:t> /</w:t>
    </w:r>
    <w:r w:rsidRPr="00657A61">
      <w:rPr>
        <w:rFonts w:ascii="Calibri" w:hAnsi="Calibri" w:cs="Calibri"/>
        <w:color w:val="000000"/>
        <w:sz w:val="16"/>
        <w:shd w:val="clear" w:color="auto" w:fill="FFFFFF"/>
      </w:rPr>
      <w:t> </w:t>
    </w:r>
    <w:r w:rsidRPr="00657A61">
      <w:rPr>
        <w:rFonts w:ascii="Calibri" w:hAnsi="Calibri" w:cs="Calibri"/>
        <w:b/>
        <w:color w:val="000000"/>
        <w:sz w:val="16"/>
        <w:shd w:val="clear" w:color="auto" w:fill="FFFFFF"/>
      </w:rPr>
      <w:t>Kişisel Veri İçermez</w:t>
    </w:r>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4E14" w:rsidRDefault="004A4E14" w:rsidP="004A4E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7E81" w:rsidRDefault="00077E81" w:rsidP="004A4E14">
      <w:pPr>
        <w:spacing w:after="0" w:line="240" w:lineRule="auto"/>
      </w:pPr>
      <w:r>
        <w:separator/>
      </w:r>
    </w:p>
  </w:footnote>
  <w:footnote w:type="continuationSeparator" w:id="0">
    <w:p w:rsidR="00077E81" w:rsidRDefault="00077E81" w:rsidP="004A4E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4E14" w:rsidRDefault="004A4E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4E14" w:rsidRDefault="004A4E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4E14" w:rsidRDefault="004A4E14" w:rsidP="004A4E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4E6319"/>
    <w:multiLevelType w:val="hybridMultilevel"/>
    <w:tmpl w:val="E9A869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50C9702B"/>
    <w:multiLevelType w:val="hybridMultilevel"/>
    <w:tmpl w:val="EC422D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8D0"/>
    <w:rsid w:val="00077E81"/>
    <w:rsid w:val="000909B8"/>
    <w:rsid w:val="0035442A"/>
    <w:rsid w:val="003C747E"/>
    <w:rsid w:val="004A4E14"/>
    <w:rsid w:val="004F6FE6"/>
    <w:rsid w:val="005C5537"/>
    <w:rsid w:val="00657A61"/>
    <w:rsid w:val="009F4619"/>
    <w:rsid w:val="00A44F51"/>
    <w:rsid w:val="00A57D6B"/>
    <w:rsid w:val="00CD48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AD4EF"/>
  <w15:chartTrackingRefBased/>
  <w15:docId w15:val="{BFC99381-F262-4858-9992-6D645CA1F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7A61"/>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4F51"/>
    <w:pPr>
      <w:ind w:left="720"/>
      <w:contextualSpacing/>
    </w:pPr>
  </w:style>
  <w:style w:type="paragraph" w:styleId="Header">
    <w:name w:val="header"/>
    <w:basedOn w:val="Normal"/>
    <w:link w:val="HeaderChar"/>
    <w:uiPriority w:val="99"/>
    <w:unhideWhenUsed/>
    <w:rsid w:val="004A4E14"/>
    <w:pPr>
      <w:tabs>
        <w:tab w:val="center" w:pos="4536"/>
        <w:tab w:val="right" w:pos="9072"/>
      </w:tabs>
      <w:spacing w:after="0" w:line="240" w:lineRule="auto"/>
    </w:pPr>
  </w:style>
  <w:style w:type="character" w:customStyle="1" w:styleId="HeaderChar">
    <w:name w:val="Header Char"/>
    <w:basedOn w:val="DefaultParagraphFont"/>
    <w:link w:val="Header"/>
    <w:uiPriority w:val="99"/>
    <w:rsid w:val="004A4E14"/>
  </w:style>
  <w:style w:type="paragraph" w:styleId="Footer">
    <w:name w:val="footer"/>
    <w:basedOn w:val="Normal"/>
    <w:link w:val="FooterChar"/>
    <w:uiPriority w:val="99"/>
    <w:unhideWhenUsed/>
    <w:rsid w:val="004A4E14"/>
    <w:pPr>
      <w:tabs>
        <w:tab w:val="center" w:pos="4536"/>
        <w:tab w:val="right" w:pos="9072"/>
      </w:tabs>
      <w:spacing w:after="0" w:line="240" w:lineRule="auto"/>
    </w:pPr>
  </w:style>
  <w:style w:type="character" w:customStyle="1" w:styleId="FooterChar">
    <w:name w:val="Footer Char"/>
    <w:basedOn w:val="DefaultParagraphFont"/>
    <w:link w:val="Footer"/>
    <w:uiPriority w:val="99"/>
    <w:rsid w:val="004A4E14"/>
  </w:style>
  <w:style w:type="paragraph" w:styleId="NormalWeb">
    <w:name w:val="Normal (Web)"/>
    <w:basedOn w:val="Normal"/>
    <w:uiPriority w:val="99"/>
    <w:semiHidden/>
    <w:unhideWhenUsed/>
    <w:rsid w:val="004A4E1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quoteinbody-quotenamecontainer">
    <w:name w:val="quoteinbody-quotenamecontainer"/>
    <w:basedOn w:val="DefaultParagraphFont"/>
    <w:rsid w:val="004A4E14"/>
  </w:style>
  <w:style w:type="character" w:styleId="Hyperlink">
    <w:name w:val="Hyperlink"/>
    <w:basedOn w:val="DefaultParagraphFont"/>
    <w:uiPriority w:val="99"/>
    <w:semiHidden/>
    <w:unhideWhenUsed/>
    <w:rsid w:val="004A4E14"/>
    <w:rPr>
      <w:color w:val="0000FF"/>
      <w:u w:val="single"/>
    </w:rPr>
  </w:style>
  <w:style w:type="character" w:customStyle="1" w:styleId="Heading1Char">
    <w:name w:val="Heading 1 Char"/>
    <w:basedOn w:val="DefaultParagraphFont"/>
    <w:link w:val="Heading1"/>
    <w:uiPriority w:val="9"/>
    <w:rsid w:val="00657A61"/>
    <w:rPr>
      <w:rFonts w:asciiTheme="majorHAnsi" w:eastAsiaTheme="majorEastAsia" w:hAnsiTheme="majorHAnsi" w:cstheme="majorBidi"/>
      <w:b/>
      <w:bCs/>
      <w:color w:val="2F5496"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498185">
      <w:bodyDiv w:val="1"/>
      <w:marLeft w:val="0"/>
      <w:marRight w:val="0"/>
      <w:marTop w:val="0"/>
      <w:marBottom w:val="0"/>
      <w:divBdr>
        <w:top w:val="none" w:sz="0" w:space="0" w:color="auto"/>
        <w:left w:val="none" w:sz="0" w:space="0" w:color="auto"/>
        <w:bottom w:val="none" w:sz="0" w:space="0" w:color="auto"/>
        <w:right w:val="none" w:sz="0" w:space="0" w:color="auto"/>
      </w:divBdr>
    </w:div>
    <w:div w:id="214519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titus xmlns="http://schemas.titus.com/TitusProperties/">
  <TitusGUID xmlns="">f88da239-611f-48f0-8684-281d027a416f</TitusGUID>
  <TitusMetadata xmlns="">eyJucyI6Imh0dHBzOlwvXC90aXR1cy5jb20iLCJwcm9wcyI6W3sibiI6IkNsYXNzaWZpY2F0aW9uIiwidmFscyI6W3sidmFsdWUiOiJHZS04OGIxMzM1YiJ9XX0seyJuIjoiS1ZLSyIsInZhbHMiOlt7InZhbHVlIjoiTi1lOTc1ODUxNSJ9XX0seyJuIjoiVmlzdWFsTWFya2luZyIsInZhbHMiOlt7InZhbHVlIjoiQXBwbHlUYWcifV19LHsibiI6IlNjb3BlT2ZTZWNyZXQiLCJ2YWxzIjpbXX1dfQ==</TitusMetadata>
</titus>
</file>

<file path=customXml/itemProps1.xml><?xml version="1.0" encoding="utf-8"?>
<ds:datastoreItem xmlns:ds="http://schemas.openxmlformats.org/officeDocument/2006/customXml" ds:itemID="{399AA476-C8DD-48EF-9BA3-2D680FCDF516}">
  <ds:schemaRefs>
    <ds:schemaRef ds:uri="http://schemas.titus.com/TitusProperties/"/>
    <ds:schemaRef ds:uri=""/>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Pages>
  <Words>494</Words>
  <Characters>3330</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Ülkem Sinci (QNB Finansinvest Resarch)</dc:creator>
  <cp:keywords>Ge-88b1335b, N-e9758515</cp:keywords>
  <dc:description/>
  <cp:lastModifiedBy>Ülkem Sinci (QNB Finansinvest Resarch)</cp:lastModifiedBy>
  <cp:revision>4</cp:revision>
  <dcterms:created xsi:type="dcterms:W3CDTF">2024-12-16T05:55:00Z</dcterms:created>
  <dcterms:modified xsi:type="dcterms:W3CDTF">2024-12-16T06:43:00Z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f88da239-611f-48f0-8684-281d027a416f</vt:lpwstr>
  </property>
  <property fmtid="{D5CDD505-2E9C-101B-9397-08002B2CF9AE}" pid="3" name="Classification">
    <vt:lpwstr>Ge-88b1335b</vt:lpwstr>
  </property>
  <property fmtid="{D5CDD505-2E9C-101B-9397-08002B2CF9AE}" pid="4" name="KVKK">
    <vt:lpwstr>N-e9758515</vt:lpwstr>
  </property>
  <property fmtid="{D5CDD505-2E9C-101B-9397-08002B2CF9AE}" pid="5" name="VisualMarking">
    <vt:lpwstr>ApplyTag</vt:lpwstr>
  </property>
</Properties>
</file>