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5859" w:rsidRDefault="008E74F8" w:rsidP="00161F40">
      <w:pPr>
        <w:jc w:val="both"/>
      </w:pPr>
      <w:r>
        <w:t xml:space="preserve">Haftanın ilk işlem gününde S&amp;P 500 ve </w:t>
      </w:r>
      <w:proofErr w:type="spellStart"/>
      <w:r>
        <w:t>Nasdaq</w:t>
      </w:r>
      <w:proofErr w:type="spellEnd"/>
      <w:r>
        <w:t xml:space="preserve"> endeksleri sırasıyla %0,4 ve %1,2 yükselirken Dow </w:t>
      </w:r>
      <w:proofErr w:type="spellStart"/>
      <w:r>
        <w:t>Jones</w:t>
      </w:r>
      <w:proofErr w:type="spellEnd"/>
      <w:r>
        <w:t xml:space="preserve"> Endeksi %0,25 değer kaybetti. Büyük yedilinin pozitif yönde ayrıştığı günde </w:t>
      </w:r>
      <w:proofErr w:type="spellStart"/>
      <w:r>
        <w:t>sektörel</w:t>
      </w:r>
      <w:proofErr w:type="spellEnd"/>
      <w:r>
        <w:t xml:space="preserve"> bazda %1,4 artan S&amp;P 500 İsteğe Bağlı Tüketim Sektörü günün en fazla değer kazananı oldu. WTI ham petroldeki düşüşe paralel %2,2 değer kaybeden S&amp;P 500 Enerji Sektörü Endeksi ise günün en fazla değer kaybedeni oldu. Vadeli işlemler hem ABD hem de Avrupa piyasalarının hafif satıcılı bir başlangıç yapacağına işaret ediyor. Yarınki </w:t>
      </w:r>
      <w:proofErr w:type="spellStart"/>
      <w:r>
        <w:t>Fed’in</w:t>
      </w:r>
      <w:proofErr w:type="spellEnd"/>
      <w:r>
        <w:t xml:space="preserve"> politika faizi kararı öncesinde bugün ABD perakende satışlar verisini takip edeceğiz. Bilanço tarafında ise </w:t>
      </w:r>
      <w:proofErr w:type="spellStart"/>
      <w:r w:rsidRPr="008E74F8">
        <w:t>Heico</w:t>
      </w:r>
      <w:r w:rsidR="00CF5859">
        <w:t>’nun</w:t>
      </w:r>
      <w:proofErr w:type="spellEnd"/>
      <w:r>
        <w:t xml:space="preserve"> (HEI)</w:t>
      </w:r>
      <w:r w:rsidR="00CF5859">
        <w:t xml:space="preserve"> kapanışın ardından açıklayacağı</w:t>
      </w:r>
      <w:r>
        <w:t xml:space="preserve"> finansallar</w:t>
      </w:r>
      <w:r w:rsidR="00CF5859">
        <w:t xml:space="preserve"> takip edilecek. Teknik tarafta da S&amp;P 500 için </w:t>
      </w:r>
      <w:r w:rsidR="00CF5859" w:rsidRPr="00CF5859">
        <w:t>y</w:t>
      </w:r>
      <w:r w:rsidR="00CF5859" w:rsidRPr="00CF5859">
        <w:t>ükseliş halinde ilk direnç olarak 6.201 seviyesi takip edilirken bu direncin de geçilmesi halinde 6.232 takip edilebilir. Negatif hareketlerde ise destekler 6.028 ve 5.938 olarak izlenebilir.</w:t>
      </w:r>
    </w:p>
    <w:p w:rsidR="00E05B9C" w:rsidRDefault="00E05B9C" w:rsidP="00161F40">
      <w:pPr>
        <w:jc w:val="both"/>
      </w:pPr>
      <w:r>
        <w:rPr>
          <w:noProof/>
        </w:rPr>
        <w:drawing>
          <wp:inline distT="0" distB="0" distL="0" distR="0" wp14:anchorId="0B2C4597" wp14:editId="3C7656A5">
            <wp:extent cx="5756910" cy="29845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2984500"/>
                    </a:xfrm>
                    <a:prstGeom prst="rect">
                      <a:avLst/>
                    </a:prstGeom>
                    <a:noFill/>
                    <a:ln>
                      <a:noFill/>
                    </a:ln>
                  </pic:spPr>
                </pic:pic>
              </a:graphicData>
            </a:graphic>
          </wp:inline>
        </w:drawing>
      </w:r>
    </w:p>
    <w:p w:rsidR="00E05B9C" w:rsidRDefault="00E05B9C" w:rsidP="00161F40">
      <w:pPr>
        <w:jc w:val="both"/>
      </w:pPr>
    </w:p>
    <w:p w:rsidR="008E74F8" w:rsidRPr="00E05B9C" w:rsidRDefault="00E05B9C" w:rsidP="00161F40">
      <w:pPr>
        <w:jc w:val="both"/>
        <w:rPr>
          <w:b/>
        </w:rPr>
      </w:pPr>
      <w:r w:rsidRPr="00E05B9C">
        <w:rPr>
          <w:b/>
        </w:rPr>
        <w:t>ABD</w:t>
      </w:r>
    </w:p>
    <w:p w:rsidR="00F76725" w:rsidRDefault="00F76725" w:rsidP="00161F40">
      <w:pPr>
        <w:jc w:val="both"/>
      </w:pPr>
    </w:p>
    <w:p w:rsidR="00F76725" w:rsidRDefault="00F76725" w:rsidP="00161F40">
      <w:pPr>
        <w:pStyle w:val="ListParagraph"/>
        <w:numPr>
          <w:ilvl w:val="0"/>
          <w:numId w:val="1"/>
        </w:numPr>
        <w:jc w:val="both"/>
      </w:pPr>
      <w:proofErr w:type="spellStart"/>
      <w:r>
        <w:t>MicroStrategy</w:t>
      </w:r>
      <w:proofErr w:type="spellEnd"/>
      <w:r>
        <w:t xml:space="preserve"> (MSTR) hisseleri, şirketin </w:t>
      </w:r>
      <w:proofErr w:type="spellStart"/>
      <w:r>
        <w:t>Nasdaq</w:t>
      </w:r>
      <w:proofErr w:type="spellEnd"/>
      <w:r>
        <w:t xml:space="preserve"> </w:t>
      </w:r>
      <w:r>
        <w:t>100 endeksine ekleneceğini</w:t>
      </w:r>
      <w:r>
        <w:t>n</w:t>
      </w:r>
      <w:r>
        <w:t xml:space="preserve"> duyur</w:t>
      </w:r>
      <w:r>
        <w:t>ul</w:t>
      </w:r>
      <w:r>
        <w:t>masının ardından</w:t>
      </w:r>
      <w:r>
        <w:t xml:space="preserve"> seans içinde %2,7 yükseldikten sonra günü yatay tamamladı.</w:t>
      </w:r>
    </w:p>
    <w:p w:rsidR="00F76725" w:rsidRDefault="00F76725" w:rsidP="00161F40">
      <w:pPr>
        <w:jc w:val="both"/>
      </w:pPr>
    </w:p>
    <w:p w:rsidR="00F76725" w:rsidRDefault="00F76725" w:rsidP="00161F40">
      <w:pPr>
        <w:pStyle w:val="ListParagraph"/>
        <w:numPr>
          <w:ilvl w:val="0"/>
          <w:numId w:val="1"/>
        </w:numPr>
        <w:jc w:val="both"/>
      </w:pPr>
      <w:r>
        <w:t xml:space="preserve">Ford Motor </w:t>
      </w:r>
      <w:r>
        <w:t xml:space="preserve">(F) hisseleri, </w:t>
      </w:r>
      <w:proofErr w:type="spellStart"/>
      <w:r>
        <w:t>Jefferies'in</w:t>
      </w:r>
      <w:proofErr w:type="spellEnd"/>
      <w:r>
        <w:t xml:space="preserve"> hisseleri </w:t>
      </w:r>
      <w:r>
        <w:t>tut</w:t>
      </w:r>
      <w:r>
        <w:t xml:space="preserve"> seviyesinden </w:t>
      </w:r>
      <w:r>
        <w:t xml:space="preserve">endeks altı getiri </w:t>
      </w:r>
      <w:r>
        <w:t xml:space="preserve">seviyesine düşürmesinin ardından %3,9 geriledi. </w:t>
      </w:r>
    </w:p>
    <w:p w:rsidR="00F76725" w:rsidRDefault="00F76725" w:rsidP="00161F40">
      <w:pPr>
        <w:jc w:val="both"/>
      </w:pPr>
    </w:p>
    <w:p w:rsidR="00F76725" w:rsidRDefault="00F76725" w:rsidP="00161F40">
      <w:pPr>
        <w:pStyle w:val="ListParagraph"/>
        <w:numPr>
          <w:ilvl w:val="0"/>
          <w:numId w:val="1"/>
        </w:numPr>
        <w:jc w:val="both"/>
      </w:pPr>
      <w:proofErr w:type="spellStart"/>
      <w:r>
        <w:t>Keysight</w:t>
      </w:r>
      <w:proofErr w:type="spellEnd"/>
      <w:r>
        <w:t xml:space="preserve"> Technologies</w:t>
      </w:r>
      <w:r>
        <w:t xml:space="preserve"> (KEYS) hisseleri, </w:t>
      </w:r>
      <w:proofErr w:type="spellStart"/>
      <w:r>
        <w:t>JPMorgan'</w:t>
      </w:r>
      <w:r>
        <w:t>ın</w:t>
      </w:r>
      <w:proofErr w:type="spellEnd"/>
      <w:r>
        <w:t xml:space="preserve"> şirket notunu</w:t>
      </w:r>
      <w:r>
        <w:t xml:space="preserve"> nötrden </w:t>
      </w:r>
      <w:r>
        <w:t xml:space="preserve">ağırlığı artır seviyesine yükseltmesinin ardından </w:t>
      </w:r>
      <w:r>
        <w:t xml:space="preserve">%2,6 yükseldi. </w:t>
      </w:r>
    </w:p>
    <w:p w:rsidR="00F76725" w:rsidRDefault="00F76725" w:rsidP="00161F40">
      <w:pPr>
        <w:jc w:val="both"/>
      </w:pPr>
    </w:p>
    <w:p w:rsidR="00F76725" w:rsidRDefault="00F76725" w:rsidP="00161F40">
      <w:pPr>
        <w:pStyle w:val="ListParagraph"/>
        <w:numPr>
          <w:ilvl w:val="0"/>
          <w:numId w:val="1"/>
        </w:numPr>
        <w:jc w:val="both"/>
      </w:pPr>
      <w:proofErr w:type="spellStart"/>
      <w:r>
        <w:t>Capri</w:t>
      </w:r>
      <w:proofErr w:type="spellEnd"/>
      <w:r>
        <w:t xml:space="preserve"> </w:t>
      </w:r>
      <w:proofErr w:type="spellStart"/>
      <w:r>
        <w:t>Holdings</w:t>
      </w:r>
      <w:proofErr w:type="spellEnd"/>
      <w:r>
        <w:t xml:space="preserve"> (CPRI) hisseleri, </w:t>
      </w:r>
      <w:r>
        <w:t xml:space="preserve">lüks moda perakendecisinin </w:t>
      </w:r>
      <w:proofErr w:type="spellStart"/>
      <w:r>
        <w:t>Versace</w:t>
      </w:r>
      <w:proofErr w:type="spellEnd"/>
      <w:r>
        <w:t xml:space="preserve"> ve Jimmy </w:t>
      </w:r>
      <w:proofErr w:type="spellStart"/>
      <w:r>
        <w:t>Choo</w:t>
      </w:r>
      <w:proofErr w:type="spellEnd"/>
      <w:r>
        <w:t xml:space="preserve"> i</w:t>
      </w:r>
      <w:r>
        <w:t>çin</w:t>
      </w:r>
      <w:r>
        <w:t xml:space="preserve"> potansiyel alıcılar bulmak için </w:t>
      </w:r>
      <w:proofErr w:type="spellStart"/>
      <w:r>
        <w:t>Barclays</w:t>
      </w:r>
      <w:proofErr w:type="spellEnd"/>
      <w:r>
        <w:t xml:space="preserve"> ile birlikte çalıştığını bildi</w:t>
      </w:r>
      <w:r>
        <w:t>ren haberlerin</w:t>
      </w:r>
      <w:r>
        <w:t xml:space="preserve"> ardından %3,7 yükseldi.</w:t>
      </w:r>
    </w:p>
    <w:p w:rsidR="00F76725" w:rsidRDefault="00F76725" w:rsidP="00161F40">
      <w:pPr>
        <w:jc w:val="both"/>
      </w:pPr>
    </w:p>
    <w:p w:rsidR="005C418F" w:rsidRDefault="00F76725" w:rsidP="00161F40">
      <w:pPr>
        <w:pStyle w:val="ListParagraph"/>
        <w:numPr>
          <w:ilvl w:val="0"/>
          <w:numId w:val="1"/>
        </w:numPr>
        <w:jc w:val="both"/>
      </w:pPr>
      <w:proofErr w:type="spellStart"/>
      <w:r>
        <w:t>Super</w:t>
      </w:r>
      <w:proofErr w:type="spellEnd"/>
      <w:r>
        <w:t xml:space="preserve"> Micro </w:t>
      </w:r>
      <w:proofErr w:type="spellStart"/>
      <w:r>
        <w:t>Computer</w:t>
      </w:r>
      <w:proofErr w:type="spellEnd"/>
      <w:r>
        <w:t xml:space="preserve"> (SMCI) hisseleri</w:t>
      </w:r>
      <w:r w:rsidR="005C418F">
        <w:t xml:space="preserve">, medyada çıkan haberlere göre şirketin </w:t>
      </w:r>
      <w:r>
        <w:t xml:space="preserve">öz sermaye ve borç sermayesini artırmasına yardımcı olması için yatırım bankası </w:t>
      </w:r>
      <w:proofErr w:type="spellStart"/>
      <w:r>
        <w:t>Evercore</w:t>
      </w:r>
      <w:proofErr w:type="spellEnd"/>
      <w:r w:rsidR="005C418F">
        <w:t xml:space="preserve"> ile çalışmaya başladığına dair çıkan haberlerin ardından %8,3 düştü.</w:t>
      </w:r>
    </w:p>
    <w:p w:rsidR="0071051F" w:rsidRDefault="0071051F" w:rsidP="00161F40">
      <w:pPr>
        <w:jc w:val="both"/>
      </w:pPr>
    </w:p>
    <w:p w:rsidR="0071051F" w:rsidRDefault="00F76725" w:rsidP="00161F40">
      <w:pPr>
        <w:pStyle w:val="ListParagraph"/>
        <w:numPr>
          <w:ilvl w:val="0"/>
          <w:numId w:val="1"/>
        </w:numPr>
        <w:jc w:val="both"/>
      </w:pPr>
      <w:proofErr w:type="spellStart"/>
      <w:r>
        <w:t>Micron</w:t>
      </w:r>
      <w:proofErr w:type="spellEnd"/>
      <w:r>
        <w:t xml:space="preserve"> </w:t>
      </w:r>
      <w:proofErr w:type="spellStart"/>
      <w:r>
        <w:t>Technology</w:t>
      </w:r>
      <w:proofErr w:type="spellEnd"/>
      <w:r w:rsidR="0071051F">
        <w:t xml:space="preserve"> (MU) hisseleri,</w:t>
      </w:r>
      <w:r>
        <w:t xml:space="preserve"> </w:t>
      </w:r>
      <w:r w:rsidR="0071051F">
        <w:t>y</w:t>
      </w:r>
      <w:r>
        <w:t>arı iletken üreticisinin bu hafta</w:t>
      </w:r>
      <w:r w:rsidR="0071051F">
        <w:t xml:space="preserve"> açıklayacağı</w:t>
      </w:r>
      <w:r>
        <w:t xml:space="preserve"> üç aylık </w:t>
      </w:r>
      <w:r w:rsidR="0071051F">
        <w:t>finansalları</w:t>
      </w:r>
      <w:r>
        <w:t xml:space="preserve"> öncesinde</w:t>
      </w:r>
      <w:r w:rsidR="0071051F">
        <w:t xml:space="preserve"> </w:t>
      </w:r>
      <w:proofErr w:type="spellStart"/>
      <w:r w:rsidR="0071051F">
        <w:t>JPMorgan</w:t>
      </w:r>
      <w:r w:rsidR="0071051F">
        <w:t>’ın</w:t>
      </w:r>
      <w:proofErr w:type="spellEnd"/>
      <w:r w:rsidR="0071051F">
        <w:t xml:space="preserve"> güçlü rakamlar beklediğine dair bir rapor yayınlamasının ardından</w:t>
      </w:r>
      <w:r>
        <w:t xml:space="preserve"> %5,6 yükseldi.</w:t>
      </w:r>
    </w:p>
    <w:p w:rsidR="0071051F" w:rsidRDefault="0071051F" w:rsidP="00161F40">
      <w:pPr>
        <w:jc w:val="both"/>
      </w:pPr>
    </w:p>
    <w:p w:rsidR="0071051F" w:rsidRPr="00E05B9C" w:rsidRDefault="00E05B9C" w:rsidP="00161F40">
      <w:pPr>
        <w:jc w:val="both"/>
        <w:rPr>
          <w:b/>
        </w:rPr>
      </w:pPr>
      <w:r w:rsidRPr="00E05B9C">
        <w:rPr>
          <w:b/>
        </w:rPr>
        <w:t>Avrupa</w:t>
      </w:r>
    </w:p>
    <w:p w:rsidR="0071051F" w:rsidRDefault="0071051F" w:rsidP="00161F40">
      <w:pPr>
        <w:jc w:val="both"/>
      </w:pPr>
    </w:p>
    <w:p w:rsidR="00161F40" w:rsidRDefault="00161F40" w:rsidP="00161F40">
      <w:pPr>
        <w:pStyle w:val="ListParagraph"/>
        <w:numPr>
          <w:ilvl w:val="0"/>
          <w:numId w:val="1"/>
        </w:numPr>
        <w:jc w:val="both"/>
      </w:pPr>
      <w:r w:rsidRPr="00161F40">
        <w:t>Adidas AG (</w:t>
      </w:r>
      <w:proofErr w:type="spellStart"/>
      <w:r w:rsidRPr="00161F40">
        <w:t>ADSGn</w:t>
      </w:r>
      <w:proofErr w:type="spellEnd"/>
      <w:r w:rsidRPr="00161F40">
        <w:t>)</w:t>
      </w:r>
      <w:r>
        <w:t xml:space="preserve"> hisseleri,</w:t>
      </w:r>
      <w:r w:rsidR="0071051F">
        <w:t xml:space="preserve"> %1,25</w:t>
      </w:r>
      <w:r>
        <w:t xml:space="preserve"> artarak </w:t>
      </w:r>
      <w:r>
        <w:t xml:space="preserve">kaybıyla Euro </w:t>
      </w:r>
      <w:proofErr w:type="spellStart"/>
      <w:r>
        <w:t>Stoxx</w:t>
      </w:r>
      <w:proofErr w:type="spellEnd"/>
      <w:r>
        <w:t xml:space="preserve"> 50 Endeksi’nin en fazla değer k</w:t>
      </w:r>
      <w:r>
        <w:t xml:space="preserve">azananı </w:t>
      </w:r>
      <w:r>
        <w:t>oldu.</w:t>
      </w:r>
    </w:p>
    <w:p w:rsidR="0071051F" w:rsidRDefault="0071051F" w:rsidP="00161F40">
      <w:pPr>
        <w:jc w:val="both"/>
      </w:pPr>
    </w:p>
    <w:p w:rsidR="0071051F" w:rsidRDefault="00161F40" w:rsidP="00161F40">
      <w:pPr>
        <w:pStyle w:val="ListParagraph"/>
        <w:numPr>
          <w:ilvl w:val="0"/>
          <w:numId w:val="1"/>
        </w:numPr>
        <w:jc w:val="both"/>
      </w:pPr>
      <w:proofErr w:type="spellStart"/>
      <w:r w:rsidRPr="00161F40">
        <w:t>Stellantis</w:t>
      </w:r>
      <w:proofErr w:type="spellEnd"/>
      <w:r w:rsidRPr="00161F40">
        <w:t xml:space="preserve"> NV (STLAM)</w:t>
      </w:r>
      <w:r>
        <w:t xml:space="preserve"> hisseleri,</w:t>
      </w:r>
      <w:r w:rsidR="0071051F">
        <w:t xml:space="preserve"> %4,6</w:t>
      </w:r>
      <w:r>
        <w:t xml:space="preserve"> değer kaybıyla Euro </w:t>
      </w:r>
      <w:proofErr w:type="spellStart"/>
      <w:r>
        <w:t>Stoxx</w:t>
      </w:r>
      <w:proofErr w:type="spellEnd"/>
      <w:r>
        <w:t xml:space="preserve"> 50 Endeksi’nin en fazla değer kaybedeni oldu.</w:t>
      </w:r>
    </w:p>
    <w:p w:rsidR="00CF5859" w:rsidRDefault="00CF5859" w:rsidP="00161F40">
      <w:pPr>
        <w:jc w:val="both"/>
      </w:pPr>
    </w:p>
    <w:p w:rsidR="00E05B9C" w:rsidRDefault="00E05B9C" w:rsidP="00E05B9C">
      <w:pPr>
        <w:pStyle w:val="Heading1"/>
        <w:jc w:val="both"/>
      </w:pPr>
      <w:r>
        <w:rPr>
          <w:rFonts w:ascii="Arial" w:hAnsi="Arial"/>
          <w:color w:val="860851"/>
        </w:rPr>
        <w:t xml:space="preserve">Global </w:t>
      </w:r>
      <w:proofErr w:type="spellStart"/>
      <w:r>
        <w:rPr>
          <w:rFonts w:ascii="Arial" w:hAnsi="Arial"/>
          <w:color w:val="860851"/>
        </w:rPr>
        <w:t>Piyasalarda</w:t>
      </w:r>
      <w:proofErr w:type="spellEnd"/>
      <w:r>
        <w:rPr>
          <w:rFonts w:ascii="Arial" w:hAnsi="Arial"/>
          <w:color w:val="860851"/>
        </w:rPr>
        <w:t xml:space="preserve"> Teknik </w:t>
      </w:r>
      <w:proofErr w:type="spellStart"/>
      <w:r>
        <w:rPr>
          <w:rFonts w:ascii="Arial" w:hAnsi="Arial"/>
          <w:color w:val="860851"/>
        </w:rPr>
        <w:t>Görünüm</w:t>
      </w:r>
      <w:proofErr w:type="spellEnd"/>
    </w:p>
    <w:p w:rsidR="00E05B9C" w:rsidRDefault="00E05B9C" w:rsidP="00E05B9C">
      <w:pPr>
        <w:pStyle w:val="Heading1"/>
        <w:jc w:val="both"/>
      </w:pPr>
      <w:r>
        <w:rPr>
          <w:rFonts w:ascii="Arial" w:hAnsi="Arial"/>
          <w:color w:val="860851"/>
        </w:rPr>
        <w:t>S&amp;P 500 ENDEKSI</w:t>
      </w:r>
    </w:p>
    <w:p w:rsidR="00E05B9C" w:rsidRDefault="00E05B9C" w:rsidP="00E05B9C">
      <w:pPr>
        <w:jc w:val="both"/>
      </w:pPr>
      <w:r>
        <w:rPr>
          <w:noProof/>
        </w:rPr>
        <w:drawing>
          <wp:inline distT="0" distB="0" distL="0" distR="0" wp14:anchorId="5ED6C4A7" wp14:editId="704314CE">
            <wp:extent cx="6400800" cy="4049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PC.png"/>
                    <pic:cNvPicPr/>
                  </pic:nvPicPr>
                  <pic:blipFill>
                    <a:blip r:embed="rId9"/>
                    <a:stretch>
                      <a:fillRect/>
                    </a:stretch>
                  </pic:blipFill>
                  <pic:spPr>
                    <a:xfrm>
                      <a:off x="0" y="0"/>
                      <a:ext cx="6400800" cy="4049125"/>
                    </a:xfrm>
                    <a:prstGeom prst="rect">
                      <a:avLst/>
                    </a:prstGeom>
                  </pic:spPr>
                </pic:pic>
              </a:graphicData>
            </a:graphic>
          </wp:inline>
        </w:drawing>
      </w:r>
    </w:p>
    <w:p w:rsidR="00E05B9C" w:rsidRDefault="00E05B9C" w:rsidP="00E05B9C">
      <w:pPr>
        <w:jc w:val="both"/>
      </w:pPr>
      <w:r>
        <w:rPr>
          <w:rFonts w:ascii="Arial" w:hAnsi="Arial"/>
        </w:rPr>
        <w:t xml:space="preserve">S&amp;P 500 Endeksi için günlük değişim %0.38 yükselişle gerçekleşmiş </w:t>
      </w:r>
      <w:proofErr w:type="spellStart"/>
      <w:proofErr w:type="gramStart"/>
      <w:r>
        <w:rPr>
          <w:rFonts w:ascii="Arial" w:hAnsi="Arial"/>
        </w:rPr>
        <w:t>oldu.Son</w:t>
      </w:r>
      <w:proofErr w:type="spellEnd"/>
      <w:proofErr w:type="gramEnd"/>
      <w:r>
        <w:rPr>
          <w:rFonts w:ascii="Arial" w:hAnsi="Arial"/>
        </w:rPr>
        <w:t xml:space="preserve"> kapanış 5 günlük hareketli ortalamanın üzerinde gerçekleşti. Yükseliş halinde ilk direnç olarak 6.201 seviyesi takip edilirken bu direncin de geçilmesi halinde 6.232 takip edilebilir. Negatif hareketlerde ise destekler 6.028 ve 5.938 olarak izlenebilir.</w:t>
      </w:r>
    </w:p>
    <w:p w:rsidR="00E05B9C" w:rsidRDefault="00E05B9C" w:rsidP="00E05B9C">
      <w:pPr>
        <w:pStyle w:val="Heading1"/>
        <w:jc w:val="both"/>
      </w:pPr>
      <w:r>
        <w:rPr>
          <w:rFonts w:ascii="Arial" w:hAnsi="Arial"/>
          <w:color w:val="860851"/>
        </w:rPr>
        <w:t>DOW JONES ENDEKSI</w:t>
      </w:r>
    </w:p>
    <w:p w:rsidR="00E05B9C" w:rsidRDefault="00E05B9C" w:rsidP="00E05B9C">
      <w:pPr>
        <w:jc w:val="both"/>
      </w:pPr>
      <w:r>
        <w:rPr>
          <w:noProof/>
        </w:rPr>
        <w:drawing>
          <wp:inline distT="0" distB="0" distL="0" distR="0" wp14:anchorId="58821061" wp14:editId="10BB48A9">
            <wp:extent cx="6400800" cy="40134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png"/>
                    <pic:cNvPicPr/>
                  </pic:nvPicPr>
                  <pic:blipFill>
                    <a:blip r:embed="rId10"/>
                    <a:stretch>
                      <a:fillRect/>
                    </a:stretch>
                  </pic:blipFill>
                  <pic:spPr>
                    <a:xfrm>
                      <a:off x="0" y="0"/>
                      <a:ext cx="6400800" cy="4013488"/>
                    </a:xfrm>
                    <a:prstGeom prst="rect">
                      <a:avLst/>
                    </a:prstGeom>
                  </pic:spPr>
                </pic:pic>
              </a:graphicData>
            </a:graphic>
          </wp:inline>
        </w:drawing>
      </w:r>
    </w:p>
    <w:p w:rsidR="00E05B9C" w:rsidRDefault="00E05B9C" w:rsidP="00E05B9C">
      <w:pPr>
        <w:jc w:val="both"/>
      </w:pPr>
      <w:r>
        <w:rPr>
          <w:rFonts w:ascii="Arial" w:hAnsi="Arial"/>
        </w:rPr>
        <w:t xml:space="preserve">Dow </w:t>
      </w:r>
      <w:proofErr w:type="spellStart"/>
      <w:r>
        <w:rPr>
          <w:rFonts w:ascii="Arial" w:hAnsi="Arial"/>
        </w:rPr>
        <w:t>Jones</w:t>
      </w:r>
      <w:proofErr w:type="spellEnd"/>
      <w:r>
        <w:rPr>
          <w:rFonts w:ascii="Arial" w:hAnsi="Arial"/>
        </w:rPr>
        <w:t xml:space="preserve"> Endeksi geçtiğimiz günü 43.717 seviyesinde %0.25 düşüşle tamamladı. Önemli momentum indikatörlerinden biri olan RSI değerine bakıldığında ise aşırı alım veya satım bölgesinde olmadığı görülebilir. Öte yandan, ilk direnç olarak 44.712 seviyesi karşımıza çıkarken bu seviyenin üzerinde 44.934 direncine yönelim gerçekleşebilir. Aşağı yönlü işlemlerde ise 43.440 ve 42.743 destekleri takip edilmelidir.</w:t>
      </w:r>
    </w:p>
    <w:p w:rsidR="00E05B9C" w:rsidRDefault="00E05B9C" w:rsidP="00E05B9C">
      <w:pPr>
        <w:pStyle w:val="Heading1"/>
        <w:jc w:val="both"/>
      </w:pPr>
      <w:r>
        <w:rPr>
          <w:rFonts w:ascii="Arial" w:hAnsi="Arial"/>
          <w:color w:val="860851"/>
        </w:rPr>
        <w:t>NASDAQ ENDEKSI</w:t>
      </w:r>
    </w:p>
    <w:p w:rsidR="00E05B9C" w:rsidRDefault="00E05B9C" w:rsidP="00E05B9C">
      <w:pPr>
        <w:jc w:val="both"/>
      </w:pPr>
      <w:r>
        <w:rPr>
          <w:noProof/>
        </w:rPr>
        <w:drawing>
          <wp:inline distT="0" distB="0" distL="0" distR="0" wp14:anchorId="7BDF32B0" wp14:editId="3CA88C17">
            <wp:extent cx="6400800" cy="40134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XIC.png"/>
                    <pic:cNvPicPr/>
                  </pic:nvPicPr>
                  <pic:blipFill>
                    <a:blip r:embed="rId11"/>
                    <a:stretch>
                      <a:fillRect/>
                    </a:stretch>
                  </pic:blipFill>
                  <pic:spPr>
                    <a:xfrm>
                      <a:off x="0" y="0"/>
                      <a:ext cx="6400800" cy="4013488"/>
                    </a:xfrm>
                    <a:prstGeom prst="rect">
                      <a:avLst/>
                    </a:prstGeom>
                  </pic:spPr>
                </pic:pic>
              </a:graphicData>
            </a:graphic>
          </wp:inline>
        </w:drawing>
      </w:r>
    </w:p>
    <w:p w:rsidR="00E05B9C" w:rsidRDefault="00E05B9C" w:rsidP="00E05B9C">
      <w:pPr>
        <w:jc w:val="both"/>
      </w:pPr>
      <w:proofErr w:type="spellStart"/>
      <w:r>
        <w:rPr>
          <w:rFonts w:ascii="Arial" w:hAnsi="Arial"/>
        </w:rPr>
        <w:t>Nasdaq</w:t>
      </w:r>
      <w:proofErr w:type="spellEnd"/>
      <w:r>
        <w:rPr>
          <w:rFonts w:ascii="Arial" w:hAnsi="Arial"/>
        </w:rPr>
        <w:t xml:space="preserve"> Endeksi kapanışla birlikte %1.24 yükseliş gerçekleştirdi. Güne 20.016 seviyesinde başladı ve gün içinde en yüksek 20.204, en düşük 19.988 seviyesinden işlem gördü. Kapanışı ise 20.173 seviyesinde tamamladı. </w:t>
      </w:r>
      <w:proofErr w:type="spellStart"/>
      <w:r>
        <w:rPr>
          <w:rFonts w:ascii="Arial" w:hAnsi="Arial"/>
        </w:rPr>
        <w:t>Nasdaq</w:t>
      </w:r>
      <w:proofErr w:type="spellEnd"/>
      <w:r>
        <w:rPr>
          <w:rFonts w:ascii="Arial" w:hAnsi="Arial"/>
        </w:rPr>
        <w:t xml:space="preserve"> Endeksi 5 iş gününe göre hesaplanan hareketli ortalamaya göre olumlu görünümdedir. MACD al pozisyonunda, pozitif bölgede hareket ediyor. Yükseliş halinde ilk direnç olarak 20.578 seviyesi takip edilirken bu direncin de geçilmesi halinde 20.739 takip edilebilir. Negatif hareketlerde ise destekler 19.961 ve 19.637 olarak izlenebilir.</w:t>
      </w:r>
    </w:p>
    <w:p w:rsidR="00E05B9C" w:rsidRDefault="00E05B9C" w:rsidP="00E05B9C">
      <w:pPr>
        <w:pStyle w:val="Heading1"/>
        <w:jc w:val="both"/>
      </w:pPr>
      <w:r>
        <w:rPr>
          <w:rFonts w:ascii="Arial" w:hAnsi="Arial"/>
          <w:color w:val="860851"/>
        </w:rPr>
        <w:t>EUR/USD</w:t>
      </w:r>
    </w:p>
    <w:p w:rsidR="00E05B9C" w:rsidRDefault="00E05B9C" w:rsidP="00E05B9C">
      <w:pPr>
        <w:jc w:val="both"/>
      </w:pPr>
      <w:r>
        <w:rPr>
          <w:noProof/>
        </w:rPr>
        <w:drawing>
          <wp:inline distT="0" distB="0" distL="0" distR="0" wp14:anchorId="29131577" wp14:editId="5C2B382A">
            <wp:extent cx="6400800" cy="4030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USD=X.png"/>
                    <pic:cNvPicPr/>
                  </pic:nvPicPr>
                  <pic:blipFill>
                    <a:blip r:embed="rId12"/>
                    <a:stretch>
                      <a:fillRect/>
                    </a:stretch>
                  </pic:blipFill>
                  <pic:spPr>
                    <a:xfrm>
                      <a:off x="0" y="0"/>
                      <a:ext cx="6400800" cy="4030040"/>
                    </a:xfrm>
                    <a:prstGeom prst="rect">
                      <a:avLst/>
                    </a:prstGeom>
                  </pic:spPr>
                </pic:pic>
              </a:graphicData>
            </a:graphic>
          </wp:inline>
        </w:drawing>
      </w:r>
    </w:p>
    <w:p w:rsidR="00E05B9C" w:rsidRDefault="00E05B9C" w:rsidP="00E05B9C">
      <w:pPr>
        <w:jc w:val="both"/>
      </w:pPr>
      <w:r>
        <w:rPr>
          <w:rFonts w:ascii="Arial" w:hAnsi="Arial"/>
        </w:rPr>
        <w:t xml:space="preserve"> Gün içi görülen en yüksek seviye 1,053 iken kapanış 1,052 seviyesinde </w:t>
      </w:r>
      <w:proofErr w:type="gramStart"/>
      <w:r>
        <w:rPr>
          <w:rFonts w:ascii="Arial" w:hAnsi="Arial"/>
        </w:rPr>
        <w:t>%0.1</w:t>
      </w:r>
      <w:proofErr w:type="gramEnd"/>
      <w:r>
        <w:rPr>
          <w:rFonts w:ascii="Arial" w:hAnsi="Arial"/>
        </w:rPr>
        <w:t xml:space="preserve"> yükseliş ile gerçekleşti. Ortalama işlem hacimlerine bakıldığında ise 5 iş günü için gözlenirken 5 günlük hareketli ortalamanın üzerinde hareket etmesi kısa vadedeki olumlu görünüme işaret ediyor. Ayrıca, gün itibarıyla 1,045 seviyesi yeni destek görevi görürken kısa vadeli direnç 1,074 seviyesi oldu. Endeksin aşağı yönlü hareketini devam ettirmesi halinde 1,03 seviyesi ikinci destek görevi görürken yukarı yönlü hareketlerde ise 1,079 seviyesini ikinci direnç olarak izleyeceğiz.</w:t>
      </w:r>
    </w:p>
    <w:p w:rsidR="00E05B9C" w:rsidRDefault="00E05B9C" w:rsidP="00E05B9C">
      <w:pPr>
        <w:pStyle w:val="Heading1"/>
        <w:jc w:val="both"/>
      </w:pPr>
      <w:r>
        <w:rPr>
          <w:rFonts w:ascii="Arial" w:hAnsi="Arial"/>
          <w:color w:val="860851"/>
        </w:rPr>
        <w:t>ONS ALTIN</w:t>
      </w:r>
    </w:p>
    <w:p w:rsidR="00E05B9C" w:rsidRDefault="00E05B9C" w:rsidP="00E05B9C">
      <w:pPr>
        <w:jc w:val="both"/>
      </w:pPr>
      <w:r>
        <w:rPr>
          <w:noProof/>
        </w:rPr>
        <w:drawing>
          <wp:inline distT="0" distB="0" distL="0" distR="0" wp14:anchorId="01169D78" wp14:editId="5BA3C1E2">
            <wp:extent cx="6400800" cy="4049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F.png"/>
                    <pic:cNvPicPr/>
                  </pic:nvPicPr>
                  <pic:blipFill>
                    <a:blip r:embed="rId13"/>
                    <a:stretch>
                      <a:fillRect/>
                    </a:stretch>
                  </pic:blipFill>
                  <pic:spPr>
                    <a:xfrm>
                      <a:off x="0" y="0"/>
                      <a:ext cx="6400800" cy="4049125"/>
                    </a:xfrm>
                    <a:prstGeom prst="rect">
                      <a:avLst/>
                    </a:prstGeom>
                  </pic:spPr>
                </pic:pic>
              </a:graphicData>
            </a:graphic>
          </wp:inline>
        </w:drawing>
      </w:r>
    </w:p>
    <w:p w:rsidR="00E05B9C" w:rsidRDefault="00E05B9C" w:rsidP="00E05B9C">
      <w:pPr>
        <w:jc w:val="both"/>
      </w:pPr>
      <w:r>
        <w:rPr>
          <w:rFonts w:ascii="Arial" w:hAnsi="Arial"/>
        </w:rPr>
        <w:t>Geçtiğimiz günü %0.17 düşüşle tamamladı. Ons Altın için aylık görünüm negatiftir.50 ve 200 günlük hareketli ortalamalar 2.670 ve 2.454 seviyelerinde hareket ediyor. 2.724 seviyesinin geçilmesi halinde yükseliş eğilimli hareketler izlenebilirken yeni direnç olarak 2.710 karşımıza çıkacaktır. 2.638 ise önemli destek konumundadır. Bu desteğin altına gelinmesi halinde 2.634 yeni destek olarak takip edilebilir.</w:t>
      </w:r>
    </w:p>
    <w:p w:rsidR="00E05B9C" w:rsidRDefault="00E05B9C" w:rsidP="00161F40">
      <w:pPr>
        <w:jc w:val="both"/>
      </w:pPr>
    </w:p>
    <w:p w:rsidR="00E05B9C" w:rsidRDefault="00E05B9C" w:rsidP="00161F40">
      <w:pPr>
        <w:jc w:val="both"/>
      </w:pPr>
    </w:p>
    <w:sectPr w:rsidR="00E05B9C" w:rsidSect="00E05B9C">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6D3C" w:rsidRDefault="00596D3C" w:rsidP="00E05B9C">
      <w:pPr>
        <w:spacing w:after="0" w:line="240" w:lineRule="auto"/>
      </w:pPr>
      <w:r>
        <w:separator/>
      </w:r>
    </w:p>
  </w:endnote>
  <w:endnote w:type="continuationSeparator" w:id="0">
    <w:p w:rsidR="00596D3C" w:rsidRDefault="00596D3C" w:rsidP="00E05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5B9C" w:rsidRDefault="00E05B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5B9C" w:rsidRDefault="00E05B9C" w:rsidP="00E05B9C">
    <w:pPr>
      <w:pStyle w:val="Footer"/>
      <w:jc w:val="right"/>
    </w:pPr>
    <w:bookmarkStart w:id="0" w:name="DocumentMarkings1FooterPrimary"/>
    <w:r w:rsidRPr="00E05B9C">
      <w:rPr>
        <w:rFonts w:ascii="Calibri" w:hAnsi="Calibri" w:cs="Calibri"/>
        <w:color w:val="000000"/>
        <w:sz w:val="16"/>
        <w:shd w:val="clear" w:color="auto" w:fill="FFFFFF"/>
      </w:rPr>
      <w:t>Sınıflandırma: </w:t>
    </w:r>
    <w:r w:rsidRPr="00E05B9C">
      <w:rPr>
        <w:rFonts w:ascii="Calibri" w:hAnsi="Calibri" w:cs="Calibri"/>
        <w:b/>
        <w:color w:val="009900"/>
        <w:sz w:val="16"/>
        <w:shd w:val="clear" w:color="auto" w:fill="FFFFFF"/>
      </w:rPr>
      <w:t>Genel</w:t>
    </w:r>
    <w:r w:rsidRPr="00E05B9C">
      <w:rPr>
        <w:rFonts w:ascii="Calibri" w:hAnsi="Calibri" w:cs="Calibri"/>
        <w:b/>
        <w:color w:val="000000"/>
        <w:sz w:val="16"/>
        <w:shd w:val="clear" w:color="auto" w:fill="FFFFFF"/>
      </w:rPr>
      <w:t> /</w:t>
    </w:r>
    <w:r w:rsidRPr="00E05B9C">
      <w:rPr>
        <w:rFonts w:ascii="Calibri" w:hAnsi="Calibri" w:cs="Calibri"/>
        <w:color w:val="000000"/>
        <w:sz w:val="16"/>
        <w:shd w:val="clear" w:color="auto" w:fill="FFFFFF"/>
      </w:rPr>
      <w:t> </w:t>
    </w:r>
    <w:r w:rsidRPr="00E05B9C">
      <w:rPr>
        <w:rFonts w:ascii="Calibri" w:hAnsi="Calibri" w:cs="Calibri"/>
        <w:b/>
        <w:color w:val="000000"/>
        <w:sz w:val="16"/>
        <w:shd w:val="clear" w:color="auto" w:fill="FFFFFF"/>
      </w:rPr>
      <w:t>Kişisel Veri İçermez</w:t>
    </w:r>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5B9C" w:rsidRDefault="00E05B9C" w:rsidP="00E05B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6D3C" w:rsidRDefault="00596D3C" w:rsidP="00E05B9C">
      <w:pPr>
        <w:spacing w:after="0" w:line="240" w:lineRule="auto"/>
      </w:pPr>
      <w:r>
        <w:separator/>
      </w:r>
    </w:p>
  </w:footnote>
  <w:footnote w:type="continuationSeparator" w:id="0">
    <w:p w:rsidR="00596D3C" w:rsidRDefault="00596D3C" w:rsidP="00E05B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5B9C" w:rsidRDefault="00E05B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5B9C" w:rsidRDefault="00E05B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5B9C" w:rsidRDefault="00E05B9C" w:rsidP="00E05B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813BA7"/>
    <w:multiLevelType w:val="hybridMultilevel"/>
    <w:tmpl w:val="B3568D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99D"/>
    <w:rsid w:val="00161F40"/>
    <w:rsid w:val="0023499D"/>
    <w:rsid w:val="003C747E"/>
    <w:rsid w:val="004F6FE6"/>
    <w:rsid w:val="00596D3C"/>
    <w:rsid w:val="005C418F"/>
    <w:rsid w:val="0071051F"/>
    <w:rsid w:val="008E74F8"/>
    <w:rsid w:val="009F4619"/>
    <w:rsid w:val="00CF5859"/>
    <w:rsid w:val="00D2259C"/>
    <w:rsid w:val="00DD7349"/>
    <w:rsid w:val="00E05B9C"/>
    <w:rsid w:val="00F767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E65D9"/>
  <w15:chartTrackingRefBased/>
  <w15:docId w15:val="{BEA6F1A6-B8D9-45A9-AF53-E83E0FB97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5B9C"/>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F585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quoteinbody-quotenamecontainer">
    <w:name w:val="quoteinbody-quotenamecontainer"/>
    <w:basedOn w:val="DefaultParagraphFont"/>
    <w:rsid w:val="00CF5859"/>
  </w:style>
  <w:style w:type="character" w:styleId="Hyperlink">
    <w:name w:val="Hyperlink"/>
    <w:basedOn w:val="DefaultParagraphFont"/>
    <w:uiPriority w:val="99"/>
    <w:semiHidden/>
    <w:unhideWhenUsed/>
    <w:rsid w:val="00CF5859"/>
    <w:rPr>
      <w:color w:val="0000FF"/>
      <w:u w:val="single"/>
    </w:rPr>
  </w:style>
  <w:style w:type="paragraph" w:styleId="ListParagraph">
    <w:name w:val="List Paragraph"/>
    <w:basedOn w:val="Normal"/>
    <w:uiPriority w:val="34"/>
    <w:qFormat/>
    <w:rsid w:val="0071051F"/>
    <w:pPr>
      <w:ind w:left="720"/>
      <w:contextualSpacing/>
    </w:pPr>
  </w:style>
  <w:style w:type="character" w:customStyle="1" w:styleId="Heading1Char">
    <w:name w:val="Heading 1 Char"/>
    <w:basedOn w:val="DefaultParagraphFont"/>
    <w:link w:val="Heading1"/>
    <w:uiPriority w:val="9"/>
    <w:rsid w:val="00E05B9C"/>
    <w:rPr>
      <w:rFonts w:asciiTheme="majorHAnsi" w:eastAsiaTheme="majorEastAsia" w:hAnsiTheme="majorHAnsi" w:cstheme="majorBidi"/>
      <w:b/>
      <w:bCs/>
      <w:color w:val="2F5496" w:themeColor="accent1" w:themeShade="BF"/>
      <w:sz w:val="28"/>
      <w:szCs w:val="28"/>
      <w:lang w:val="en-US"/>
    </w:rPr>
  </w:style>
  <w:style w:type="paragraph" w:styleId="Header">
    <w:name w:val="header"/>
    <w:basedOn w:val="Normal"/>
    <w:link w:val="HeaderChar"/>
    <w:uiPriority w:val="99"/>
    <w:unhideWhenUsed/>
    <w:rsid w:val="00E05B9C"/>
    <w:pPr>
      <w:tabs>
        <w:tab w:val="center" w:pos="4536"/>
        <w:tab w:val="right" w:pos="9072"/>
      </w:tabs>
      <w:spacing w:after="0" w:line="240" w:lineRule="auto"/>
    </w:pPr>
  </w:style>
  <w:style w:type="character" w:customStyle="1" w:styleId="HeaderChar">
    <w:name w:val="Header Char"/>
    <w:basedOn w:val="DefaultParagraphFont"/>
    <w:link w:val="Header"/>
    <w:uiPriority w:val="99"/>
    <w:rsid w:val="00E05B9C"/>
  </w:style>
  <w:style w:type="paragraph" w:styleId="Footer">
    <w:name w:val="footer"/>
    <w:basedOn w:val="Normal"/>
    <w:link w:val="FooterChar"/>
    <w:uiPriority w:val="99"/>
    <w:unhideWhenUsed/>
    <w:rsid w:val="00E05B9C"/>
    <w:pPr>
      <w:tabs>
        <w:tab w:val="center" w:pos="4536"/>
        <w:tab w:val="right" w:pos="9072"/>
      </w:tabs>
      <w:spacing w:after="0" w:line="240" w:lineRule="auto"/>
    </w:pPr>
  </w:style>
  <w:style w:type="character" w:customStyle="1" w:styleId="FooterChar">
    <w:name w:val="Footer Char"/>
    <w:basedOn w:val="DefaultParagraphFont"/>
    <w:link w:val="Footer"/>
    <w:uiPriority w:val="99"/>
    <w:rsid w:val="00E05B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353614">
      <w:bodyDiv w:val="1"/>
      <w:marLeft w:val="0"/>
      <w:marRight w:val="0"/>
      <w:marTop w:val="0"/>
      <w:marBottom w:val="0"/>
      <w:divBdr>
        <w:top w:val="none" w:sz="0" w:space="0" w:color="auto"/>
        <w:left w:val="none" w:sz="0" w:space="0" w:color="auto"/>
        <w:bottom w:val="none" w:sz="0" w:space="0" w:color="auto"/>
        <w:right w:val="none" w:sz="0" w:space="0" w:color="auto"/>
      </w:divBdr>
    </w:div>
    <w:div w:id="81421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titus xmlns="http://schemas.titus.com/TitusProperties/">
  <TitusGUID xmlns="">0d7e5893-52f8-42ef-9f75-1dc5ab57da4f</TitusGUID>
  <TitusMetadata xmlns="">eyJucyI6Imh0dHBzOlwvXC90aXR1cy5jb20iLCJwcm9wcyI6W3sibiI6IkNsYXNzaWZpY2F0aW9uIiwidmFscyI6W3sidmFsdWUiOiJHZS04OGIxMzM1YiJ9XX0seyJuIjoiS1ZLSyIsInZhbHMiOlt7InZhbHVlIjoiTi1lOTc1ODUxNSJ9XX0seyJuIjoiVmlzdWFsTWFya2luZyIsInZhbHMiOlt7InZhbHVlIjoiQXBwbHlUYWcifV19LHsibiI6IlNjb3BlT2ZTZWNyZXQiLCJ2YWxzIjpbXX1dfQ==</TitusMetadata>
</titus>
</file>

<file path=customXml/itemProps1.xml><?xml version="1.0" encoding="utf-8"?>
<ds:datastoreItem xmlns:ds="http://schemas.openxmlformats.org/officeDocument/2006/customXml" ds:itemID="{5860AED8-D26B-4754-B312-8F38AA06F37C}">
  <ds:schemaRefs>
    <ds:schemaRef ds:uri="http://schemas.titus.com/TitusProperties/"/>
    <ds:schemaRef ds:uri=""/>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7</Pages>
  <Words>608</Words>
  <Characters>3995</Characters>
  <Application>Microsoft Office Word</Application>
  <DocSecurity>0</DocSecurity>
  <Lines>83</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Ülkem Sinci (QNB Finansinvest Resarch)</dc:creator>
  <cp:keywords>Ge-88b1335b, N-e9758515</cp:keywords>
  <dc:description/>
  <cp:lastModifiedBy>Ülkem Sinci (QNB Finansinvest Resarch)</cp:lastModifiedBy>
  <cp:revision>2</cp:revision>
  <dcterms:created xsi:type="dcterms:W3CDTF">2024-12-17T06:10:00Z</dcterms:created>
  <dcterms:modified xsi:type="dcterms:W3CDTF">2024-12-17T08:01:00Z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0d7e5893-52f8-42ef-9f75-1dc5ab57da4f</vt:lpwstr>
  </property>
  <property fmtid="{D5CDD505-2E9C-101B-9397-08002B2CF9AE}" pid="3" name="Classification">
    <vt:lpwstr>Ge-88b1335b</vt:lpwstr>
  </property>
  <property fmtid="{D5CDD505-2E9C-101B-9397-08002B2CF9AE}" pid="4" name="KVKK">
    <vt:lpwstr>N-e9758515</vt:lpwstr>
  </property>
  <property fmtid="{D5CDD505-2E9C-101B-9397-08002B2CF9AE}" pid="5" name="VisualMarking">
    <vt:lpwstr>ApplyTag</vt:lpwstr>
  </property>
</Properties>
</file>