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37" w:rsidRDefault="00004D37" w:rsidP="00004D37">
      <w:pPr>
        <w:pStyle w:val="NormalWeb"/>
        <w:spacing w:line="300" w:lineRule="auto"/>
        <w:rPr>
          <w:rFonts w:ascii="Calibri Light" w:hAnsi="Calibri Light" w:cs="Calibri Light"/>
          <w:b/>
          <w:bCs/>
          <w:sz w:val="26"/>
          <w:szCs w:val="26"/>
        </w:rPr>
      </w:pPr>
      <w:bookmarkStart w:id="0" w:name="_GoBack"/>
      <w:bookmarkEnd w:id="0"/>
      <w:r>
        <w:rPr>
          <w:rFonts w:ascii="Calibri Light" w:hAnsi="Calibri Light" w:cs="Calibri Light"/>
          <w:b/>
          <w:bCs/>
          <w:sz w:val="26"/>
          <w:szCs w:val="26"/>
        </w:rPr>
        <w:t xml:space="preserve">Aselsan Elektronik Sanayi ve Ticaret A.Ş. (ASELS) </w:t>
      </w:r>
      <w:r>
        <w:rPr>
          <w:rFonts w:ascii="Calibri Light" w:hAnsi="Calibri Light" w:cs="Calibri Light"/>
          <w:b/>
          <w:bCs/>
          <w:color w:val="000000"/>
          <w:sz w:val="26"/>
          <w:szCs w:val="26"/>
        </w:rPr>
        <w:t>– 2024 4. Çeyrek Finansal Değerlendirme</w:t>
      </w:r>
    </w:p>
    <w:p w:rsidR="00004D37" w:rsidRDefault="00004D37" w:rsidP="00004D37">
      <w:pPr>
        <w:spacing w:after="160" w:line="300" w:lineRule="auto"/>
        <w:jc w:val="both"/>
        <w:rPr>
          <w:rFonts w:ascii="Calibri Light" w:hAnsi="Calibri Light" w:cs="Calibri Light"/>
          <w:i/>
          <w:iCs/>
          <w:sz w:val="22"/>
          <w:szCs w:val="22"/>
          <w:lang w:eastAsia="tr-TR"/>
          <w14:ligatures w14:val="none"/>
        </w:rPr>
      </w:pPr>
      <w:r>
        <w:rPr>
          <w:rFonts w:ascii="Calibri Light" w:hAnsi="Calibri Light" w:cs="Calibri Light"/>
          <w:i/>
          <w:iCs/>
          <w:sz w:val="22"/>
          <w:szCs w:val="22"/>
          <w:lang w:eastAsia="tr-TR"/>
          <w14:ligatures w14:val="none"/>
        </w:rPr>
        <w:t>Aselsan Elektronik Sanayi ve Ticaret A.Ş. 24Q4’te 55,7 milyar TL hasılat açıkladı. Bu rakam Ahlatcı Yatırım Araştırma Departmanı olarak 48,3 milyar TL beklentimizin üzerinde şekillenirken piyasadaki konsensüs beklenti olan 52,9 milyar TL’nin de üzerinde bir gerçekleşme gösterdi.</w:t>
      </w:r>
    </w:p>
    <w:p w:rsidR="00004D37" w:rsidRDefault="00004D37" w:rsidP="00004D37">
      <w:pPr>
        <w:spacing w:after="160" w:line="300" w:lineRule="auto"/>
        <w:jc w:val="both"/>
        <w:rPr>
          <w:rFonts w:ascii="Calibri Light" w:hAnsi="Calibri Light" w:cs="Calibri Light"/>
          <w:i/>
          <w:iCs/>
          <w:sz w:val="22"/>
          <w:szCs w:val="22"/>
          <w:lang w:eastAsia="tr-TR"/>
          <w14:ligatures w14:val="none"/>
        </w:rPr>
      </w:pPr>
      <w:r>
        <w:rPr>
          <w:rFonts w:ascii="Calibri Light" w:hAnsi="Calibri Light" w:cs="Calibri Light"/>
          <w:i/>
          <w:iCs/>
          <w:sz w:val="22"/>
          <w:szCs w:val="22"/>
          <w:lang w:eastAsia="tr-TR"/>
          <w14:ligatures w14:val="none"/>
        </w:rPr>
        <w:t xml:space="preserve">ASELS 24Q4’te 14,9 milyar TL FAVÖK gerçekleştirdi. Bu rakam Ahlatcı Yatırım Araştırma Departmanı olarak 11,7 milyar TL beklentimizin üzerinde gelirken konsensüs beklenti olan 12,9 milyar TL’nin de üzerinde gerçekleşme gösterdi. </w:t>
      </w:r>
    </w:p>
    <w:p w:rsidR="00004D37" w:rsidRDefault="00004D37" w:rsidP="00004D37">
      <w:pPr>
        <w:spacing w:after="160" w:line="300" w:lineRule="auto"/>
        <w:jc w:val="both"/>
        <w:rPr>
          <w:rFonts w:ascii="Calibri Light" w:hAnsi="Calibri Light" w:cs="Calibri Light"/>
          <w:i/>
          <w:iCs/>
          <w:sz w:val="22"/>
          <w:szCs w:val="22"/>
          <w:lang w:eastAsia="tr-TR"/>
          <w14:ligatures w14:val="none"/>
        </w:rPr>
      </w:pPr>
      <w:r>
        <w:rPr>
          <w:rFonts w:ascii="Calibri Light" w:hAnsi="Calibri Light" w:cs="Calibri Light"/>
          <w:i/>
          <w:iCs/>
          <w:sz w:val="22"/>
          <w:szCs w:val="22"/>
          <w:lang w:eastAsia="tr-TR"/>
          <w14:ligatures w14:val="none"/>
        </w:rPr>
        <w:t xml:space="preserve">Şirket 24Q4’te 8,7 milyar TL net kâr açıkladı. Bu rakam Ahlatcı Yatırım Araştırma Departmanının 5,1 milyar TL’lik kâr beklentimizin üzerinde bir gerçekleşme gösterirken piyasadaki konsensüs beklenti olan 6,6 milyar TL’lik kâr rakamının da üzerinde gerçekleşti. </w:t>
      </w:r>
    </w:p>
    <w:p w:rsidR="00004D37" w:rsidRDefault="00004D37" w:rsidP="00004D37">
      <w:pPr>
        <w:spacing w:after="160" w:line="300" w:lineRule="auto"/>
        <w:jc w:val="both"/>
        <w:rPr>
          <w:rFonts w:ascii="Calibri Light" w:hAnsi="Calibri Light" w:cs="Calibri Light"/>
          <w:i/>
          <w:iCs/>
          <w:sz w:val="22"/>
          <w:szCs w:val="22"/>
          <w:lang w:eastAsia="tr-TR"/>
          <w14:ligatures w14:val="none"/>
        </w:rPr>
      </w:pPr>
      <w:r>
        <w:rPr>
          <w:rFonts w:ascii="Calibri Light" w:hAnsi="Calibri Light" w:cs="Calibri Light"/>
          <w:i/>
          <w:iCs/>
          <w:sz w:val="22"/>
          <w:szCs w:val="22"/>
          <w:lang w:eastAsia="tr-TR"/>
          <w14:ligatures w14:val="none"/>
        </w:rPr>
        <w:t>Finansallarda Olumlu Gördüğümüz Noktalar</w:t>
      </w:r>
    </w:p>
    <w:p w:rsidR="00004D37" w:rsidRDefault="00004D37" w:rsidP="00004D37">
      <w:pPr>
        <w:numPr>
          <w:ilvl w:val="0"/>
          <w:numId w:val="1"/>
        </w:numPr>
        <w:spacing w:line="300" w:lineRule="auto"/>
        <w:jc w:val="both"/>
        <w:rPr>
          <w:rFonts w:ascii="Calibri Light" w:eastAsia="Times New Roman" w:hAnsi="Calibri Light" w:cs="Calibri Light"/>
          <w:i/>
          <w:iCs/>
          <w:sz w:val="22"/>
          <w:szCs w:val="22"/>
          <w:lang w:eastAsia="tr-TR"/>
          <w14:ligatures w14:val="none"/>
        </w:rPr>
      </w:pPr>
      <w:r>
        <w:rPr>
          <w:rFonts w:ascii="Calibri Light" w:eastAsia="Times New Roman" w:hAnsi="Calibri Light" w:cs="Calibri Light"/>
          <w:i/>
          <w:iCs/>
          <w:sz w:val="22"/>
          <w:szCs w:val="22"/>
          <w:lang w:eastAsia="tr-TR"/>
          <w14:ligatures w14:val="none"/>
        </w:rPr>
        <w:t>Şirketin brüt kâr marjının, 23Q4 ve 24Q3’e göre artış göstererek %32,70 seviyesine yükselmesini, katma değerli ürün satışlarının sınırlı bir etkisi olduğunu tahmin ediyoruz. Ayrıca, şirketin AselsaneXt programının insan, süreç, teknoloji, üretim ve iş geliştirme odaklı yaklaşımının, verimlilik ve maliyet avantajı sağlayarak önemli bir aşağı yönlü etki yarattığını düşünüyoruz. Bu paralelde, brüt kâr marjının yanı sıra FAVÖK marjında da son yıllara kıyasla önemli bir artış sağlanmasını olumlu buluyoruz.</w:t>
      </w:r>
    </w:p>
    <w:p w:rsidR="00004D37" w:rsidRDefault="00004D37" w:rsidP="00004D37">
      <w:pPr>
        <w:numPr>
          <w:ilvl w:val="0"/>
          <w:numId w:val="1"/>
        </w:numPr>
        <w:spacing w:line="300" w:lineRule="auto"/>
        <w:jc w:val="both"/>
        <w:rPr>
          <w:rFonts w:ascii="Calibri Light" w:eastAsia="Times New Roman" w:hAnsi="Calibri Light" w:cs="Calibri Light"/>
          <w:i/>
          <w:iCs/>
          <w:sz w:val="22"/>
          <w:szCs w:val="22"/>
          <w:lang w:eastAsia="tr-TR"/>
          <w14:ligatures w14:val="none"/>
        </w:rPr>
      </w:pPr>
      <w:r>
        <w:rPr>
          <w:rFonts w:ascii="Calibri Light" w:eastAsia="Times New Roman" w:hAnsi="Calibri Light" w:cs="Calibri Light"/>
          <w:i/>
          <w:iCs/>
          <w:sz w:val="22"/>
          <w:szCs w:val="22"/>
          <w:lang w:eastAsia="tr-TR"/>
          <w14:ligatures w14:val="none"/>
        </w:rPr>
        <w:t>Şirketin imzalanan yeni sözleşmelerinde yaşanan %32’lik artışın yanı sıra, ihracat sözleşmelerindeki %70’lik büyümeyi de olumlu buluyoruz. Ayrıca, alınan işlerin güncel siparişlerin yaklaşık 2 katına ulaşması ve bakiye siparişlerin 4,1 katına çıkması, gelecek süreç açısından olumlu bir tablo çizmektedir.</w:t>
      </w:r>
    </w:p>
    <w:p w:rsidR="00004D37" w:rsidRDefault="00004D37" w:rsidP="00004D37">
      <w:pPr>
        <w:numPr>
          <w:ilvl w:val="0"/>
          <w:numId w:val="1"/>
        </w:numPr>
        <w:spacing w:line="300" w:lineRule="auto"/>
        <w:jc w:val="both"/>
        <w:rPr>
          <w:rFonts w:ascii="Calibri Light" w:eastAsia="Times New Roman" w:hAnsi="Calibri Light" w:cs="Calibri Light"/>
          <w:i/>
          <w:iCs/>
          <w:sz w:val="22"/>
          <w:szCs w:val="22"/>
          <w:lang w:eastAsia="tr-TR"/>
          <w14:ligatures w14:val="none"/>
        </w:rPr>
      </w:pPr>
      <w:r>
        <w:rPr>
          <w:rFonts w:ascii="Calibri Light" w:eastAsia="Times New Roman" w:hAnsi="Calibri Light" w:cs="Calibri Light"/>
          <w:i/>
          <w:iCs/>
          <w:sz w:val="22"/>
          <w:szCs w:val="22"/>
          <w:lang w:eastAsia="tr-TR"/>
          <w14:ligatures w14:val="none"/>
        </w:rPr>
        <w:t>Şirketin etkin nakit ve finans yönetimi, kârlılığına önemli bir katkı sağladı. 24Q3’e göre 24Q4’te ticari borcunu %8 oranında azaltırken, net borcunu %50 oranında düşürdü. Böylece, 23A12’de 0,80 seviyesinde olan NB/FAVÖK rasyosu 0,52 seviyesine geriledi. Ayrıca, şirketin 2024 yılında faaliyetlerden yarattığı nakit akışını %77 oranında artırması ve serbest nakit akışının pozitife dönmesi, olumlu değerlendirdiğimiz gelişmeler arasında yer alıyor.</w:t>
      </w:r>
    </w:p>
    <w:p w:rsidR="00004D37" w:rsidRDefault="00004D37" w:rsidP="00004D37">
      <w:pPr>
        <w:numPr>
          <w:ilvl w:val="0"/>
          <w:numId w:val="1"/>
        </w:numPr>
        <w:spacing w:line="300" w:lineRule="auto"/>
        <w:jc w:val="both"/>
        <w:rPr>
          <w:rFonts w:ascii="Calibri Light" w:eastAsia="Times New Roman" w:hAnsi="Calibri Light" w:cs="Calibri Light"/>
          <w:i/>
          <w:iCs/>
          <w:sz w:val="22"/>
          <w:szCs w:val="22"/>
          <w:lang w:eastAsia="tr-TR"/>
          <w14:ligatures w14:val="none"/>
        </w:rPr>
      </w:pPr>
      <w:r>
        <w:rPr>
          <w:rFonts w:ascii="Calibri Light" w:eastAsia="Times New Roman" w:hAnsi="Calibri Light" w:cs="Calibri Light"/>
          <w:i/>
          <w:iCs/>
          <w:sz w:val="22"/>
          <w:szCs w:val="22"/>
          <w:lang w:eastAsia="tr-TR"/>
          <w14:ligatures w14:val="none"/>
        </w:rPr>
        <w:t>Şirketin bakiye siparişlerinin 24A9’da 12,6 milyar dolardan 24A12’de %11 artarak 14 milyar dolara ulaşması ve yeni bir rekor kırmasını olumlu buluyoruz. Bakiye siparişlerin yaşlandırmasının ağırlıklı olarak 2026–2027 dönemine yoğunlaştığı görülmektedir. Ayrıca, bu siparişlerde yabancı payının %12,1 seviyesinde olması ve bölge dağılımı açısından siparişlerin yarısının Orta Doğu ve Asya’dan gelmesi olumlu değerlendirilebilir. Avrupa ve ABD’de ise savunma sanayi yatırımlarının, NATO şartları nedeniyle gelecek dönemde pastadaki ağırlığını artırabileceğini düşünüyoruz.</w:t>
      </w:r>
    </w:p>
    <w:p w:rsidR="00004D37" w:rsidRDefault="00004D37" w:rsidP="00004D37">
      <w:pPr>
        <w:numPr>
          <w:ilvl w:val="0"/>
          <w:numId w:val="1"/>
        </w:numPr>
        <w:spacing w:line="300" w:lineRule="auto"/>
        <w:jc w:val="both"/>
        <w:rPr>
          <w:rFonts w:ascii="Calibri Light" w:eastAsia="Times New Roman" w:hAnsi="Calibri Light" w:cs="Calibri Light"/>
          <w:i/>
          <w:iCs/>
          <w:sz w:val="22"/>
          <w:szCs w:val="22"/>
          <w:lang w:eastAsia="tr-TR"/>
          <w14:ligatures w14:val="none"/>
        </w:rPr>
      </w:pPr>
      <w:r>
        <w:rPr>
          <w:rFonts w:ascii="Calibri Light" w:eastAsia="Times New Roman" w:hAnsi="Calibri Light" w:cs="Calibri Light"/>
          <w:i/>
          <w:iCs/>
          <w:sz w:val="22"/>
          <w:szCs w:val="22"/>
          <w:lang w:eastAsia="tr-TR"/>
          <w14:ligatures w14:val="none"/>
        </w:rPr>
        <w:t>Geleceğe yönelik beklentiler bakımından şirketin 2030 yılında Defence News’te 42. sıradan ilk 30 içerisinde yer alma beklentisini dolar bazlı önemli bir hasılat büyümesini beraberinde getireceğinden olumlu okuyoruz. Ayrıca şirketin 2025 yılı beklentilerinde %10’un üzerinde hasılat büyümesi %23 seviyesindeki FAVÖK marjı beklentisi şirket için olumlu gidişatın bu senede devam edeceğinin göstergeleri arasında yer almaktadır.</w:t>
      </w:r>
    </w:p>
    <w:p w:rsidR="00004D37" w:rsidRDefault="00004D37" w:rsidP="00004D37">
      <w:pPr>
        <w:spacing w:line="300" w:lineRule="auto"/>
        <w:ind w:left="720"/>
        <w:jc w:val="both"/>
        <w:rPr>
          <w:rFonts w:ascii="Calibri Light" w:hAnsi="Calibri Light" w:cs="Calibri Light"/>
          <w:i/>
          <w:iCs/>
          <w:sz w:val="22"/>
          <w:szCs w:val="22"/>
          <w:lang w:eastAsia="tr-TR"/>
          <w14:ligatures w14:val="none"/>
        </w:rPr>
      </w:pPr>
    </w:p>
    <w:p w:rsidR="00004D37" w:rsidRDefault="00004D37" w:rsidP="00004D37">
      <w:pPr>
        <w:spacing w:after="160" w:line="300" w:lineRule="auto"/>
        <w:jc w:val="both"/>
        <w:rPr>
          <w:rFonts w:ascii="Calibri Light" w:hAnsi="Calibri Light" w:cs="Calibri Light"/>
          <w:i/>
          <w:iCs/>
          <w:sz w:val="22"/>
          <w:szCs w:val="22"/>
          <w:lang w:eastAsia="tr-TR"/>
          <w14:ligatures w14:val="none"/>
        </w:rPr>
      </w:pPr>
      <w:r>
        <w:rPr>
          <w:rFonts w:ascii="Calibri Light" w:hAnsi="Calibri Light" w:cs="Calibri Light"/>
          <w:i/>
          <w:iCs/>
          <w:sz w:val="22"/>
          <w:szCs w:val="22"/>
          <w:lang w:eastAsia="tr-TR"/>
          <w14:ligatures w14:val="none"/>
        </w:rPr>
        <w:t>Finansallardaki Olumsuz Gördüğümüz Noktalar</w:t>
      </w:r>
    </w:p>
    <w:p w:rsidR="00004D37" w:rsidRDefault="00004D37" w:rsidP="00004D37">
      <w:pPr>
        <w:numPr>
          <w:ilvl w:val="0"/>
          <w:numId w:val="2"/>
        </w:numPr>
        <w:spacing w:line="300" w:lineRule="auto"/>
        <w:jc w:val="both"/>
        <w:rPr>
          <w:rFonts w:ascii="Calibri Light" w:eastAsia="Times New Roman" w:hAnsi="Calibri Light" w:cs="Calibri Light"/>
          <w:i/>
          <w:iCs/>
          <w:sz w:val="22"/>
          <w:szCs w:val="22"/>
          <w:lang w:eastAsia="tr-TR"/>
          <w14:ligatures w14:val="none"/>
        </w:rPr>
      </w:pPr>
      <w:r>
        <w:rPr>
          <w:rFonts w:ascii="Cambria Math" w:eastAsia="Times New Roman" w:hAnsi="Cambria Math"/>
          <w:i/>
          <w:iCs/>
          <w:sz w:val="22"/>
          <w:szCs w:val="22"/>
          <w:lang w:eastAsia="tr-TR"/>
          <w14:ligatures w14:val="none"/>
        </w:rPr>
        <w:t>∅</w:t>
      </w:r>
    </w:p>
    <w:p w:rsidR="00004D37" w:rsidRDefault="00004D37" w:rsidP="00004D37">
      <w:pPr>
        <w:spacing w:before="160" w:after="160" w:line="300" w:lineRule="auto"/>
        <w:jc w:val="both"/>
        <w:rPr>
          <w:rFonts w:ascii="Calibri Light" w:hAnsi="Calibri Light" w:cs="Calibri Light"/>
          <w:i/>
          <w:iCs/>
          <w:sz w:val="22"/>
          <w:szCs w:val="22"/>
          <w:lang w:eastAsia="tr-TR"/>
          <w14:ligatures w14:val="none"/>
        </w:rPr>
      </w:pPr>
      <w:r>
        <w:rPr>
          <w:rFonts w:ascii="Calibri Light" w:hAnsi="Calibri Light" w:cs="Calibri Light"/>
          <w:b/>
          <w:bCs/>
          <w:i/>
          <w:iCs/>
          <w:sz w:val="22"/>
          <w:szCs w:val="22"/>
          <w:lang w:eastAsia="tr-TR"/>
          <w14:ligatures w14:val="none"/>
        </w:rPr>
        <w:t>Genel Görüşümüz:</w:t>
      </w:r>
      <w:r>
        <w:rPr>
          <w:rFonts w:ascii="Calibri Light" w:hAnsi="Calibri Light" w:cs="Calibri Light"/>
          <w:i/>
          <w:iCs/>
          <w:sz w:val="22"/>
          <w:szCs w:val="22"/>
          <w:lang w:eastAsia="tr-TR"/>
          <w14:ligatures w14:val="none"/>
        </w:rPr>
        <w:t xml:space="preserve"> Ahlatcı Yatırım Araştırma Departmanı olarak Aselsan Elektronik Sanayi ve Ticaret A.Ş. hissesindeki 12 aylık hedef fiyatımızı 90,40TL’den 112,78TL’ye revize ederek AL önerimizi koruyoruz. </w:t>
      </w:r>
    </w:p>
    <w:p w:rsidR="00376999" w:rsidRDefault="00376999"/>
    <w:sectPr w:rsidR="0037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C7F"/>
    <w:multiLevelType w:val="hybridMultilevel"/>
    <w:tmpl w:val="081A3AAE"/>
    <w:lvl w:ilvl="0" w:tplc="7E563D64">
      <w:start w:val="1"/>
      <w:numFmt w:val="bullet"/>
      <w:lvlText w:val="•"/>
      <w:lvlJc w:val="left"/>
      <w:pPr>
        <w:tabs>
          <w:tab w:val="num" w:pos="720"/>
        </w:tabs>
        <w:ind w:left="720" w:hanging="360"/>
      </w:pPr>
      <w:rPr>
        <w:rFonts w:ascii="Arial" w:hAnsi="Arial" w:cs="Times New Roman" w:hint="default"/>
      </w:rPr>
    </w:lvl>
    <w:lvl w:ilvl="1" w:tplc="BA2E1C08">
      <w:start w:val="1"/>
      <w:numFmt w:val="bullet"/>
      <w:lvlText w:val="•"/>
      <w:lvlJc w:val="left"/>
      <w:pPr>
        <w:tabs>
          <w:tab w:val="num" w:pos="1440"/>
        </w:tabs>
        <w:ind w:left="1440" w:hanging="360"/>
      </w:pPr>
      <w:rPr>
        <w:rFonts w:ascii="Arial" w:hAnsi="Arial" w:cs="Times New Roman" w:hint="default"/>
      </w:rPr>
    </w:lvl>
    <w:lvl w:ilvl="2" w:tplc="B0FC339C">
      <w:start w:val="1"/>
      <w:numFmt w:val="bullet"/>
      <w:lvlText w:val="•"/>
      <w:lvlJc w:val="left"/>
      <w:pPr>
        <w:tabs>
          <w:tab w:val="num" w:pos="2160"/>
        </w:tabs>
        <w:ind w:left="2160" w:hanging="360"/>
      </w:pPr>
      <w:rPr>
        <w:rFonts w:ascii="Arial" w:hAnsi="Arial" w:cs="Times New Roman" w:hint="default"/>
      </w:rPr>
    </w:lvl>
    <w:lvl w:ilvl="3" w:tplc="6D280D42">
      <w:start w:val="1"/>
      <w:numFmt w:val="bullet"/>
      <w:lvlText w:val="•"/>
      <w:lvlJc w:val="left"/>
      <w:pPr>
        <w:tabs>
          <w:tab w:val="num" w:pos="2880"/>
        </w:tabs>
        <w:ind w:left="2880" w:hanging="360"/>
      </w:pPr>
      <w:rPr>
        <w:rFonts w:ascii="Arial" w:hAnsi="Arial" w:cs="Times New Roman" w:hint="default"/>
      </w:rPr>
    </w:lvl>
    <w:lvl w:ilvl="4" w:tplc="1D5A4A14">
      <w:start w:val="1"/>
      <w:numFmt w:val="bullet"/>
      <w:lvlText w:val="•"/>
      <w:lvlJc w:val="left"/>
      <w:pPr>
        <w:tabs>
          <w:tab w:val="num" w:pos="3600"/>
        </w:tabs>
        <w:ind w:left="3600" w:hanging="360"/>
      </w:pPr>
      <w:rPr>
        <w:rFonts w:ascii="Arial" w:hAnsi="Arial" w:cs="Times New Roman" w:hint="default"/>
      </w:rPr>
    </w:lvl>
    <w:lvl w:ilvl="5" w:tplc="47A040DE">
      <w:start w:val="1"/>
      <w:numFmt w:val="bullet"/>
      <w:lvlText w:val="•"/>
      <w:lvlJc w:val="left"/>
      <w:pPr>
        <w:tabs>
          <w:tab w:val="num" w:pos="4320"/>
        </w:tabs>
        <w:ind w:left="4320" w:hanging="360"/>
      </w:pPr>
      <w:rPr>
        <w:rFonts w:ascii="Arial" w:hAnsi="Arial" w:cs="Times New Roman" w:hint="default"/>
      </w:rPr>
    </w:lvl>
    <w:lvl w:ilvl="6" w:tplc="F04E6D92">
      <w:start w:val="1"/>
      <w:numFmt w:val="bullet"/>
      <w:lvlText w:val="•"/>
      <w:lvlJc w:val="left"/>
      <w:pPr>
        <w:tabs>
          <w:tab w:val="num" w:pos="5040"/>
        </w:tabs>
        <w:ind w:left="5040" w:hanging="360"/>
      </w:pPr>
      <w:rPr>
        <w:rFonts w:ascii="Arial" w:hAnsi="Arial" w:cs="Times New Roman" w:hint="default"/>
      </w:rPr>
    </w:lvl>
    <w:lvl w:ilvl="7" w:tplc="EFCCF3D6">
      <w:start w:val="1"/>
      <w:numFmt w:val="bullet"/>
      <w:lvlText w:val="•"/>
      <w:lvlJc w:val="left"/>
      <w:pPr>
        <w:tabs>
          <w:tab w:val="num" w:pos="5760"/>
        </w:tabs>
        <w:ind w:left="5760" w:hanging="360"/>
      </w:pPr>
      <w:rPr>
        <w:rFonts w:ascii="Arial" w:hAnsi="Arial" w:cs="Times New Roman" w:hint="default"/>
      </w:rPr>
    </w:lvl>
    <w:lvl w:ilvl="8" w:tplc="11FAE16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14C52A1"/>
    <w:multiLevelType w:val="hybridMultilevel"/>
    <w:tmpl w:val="5E8EFC34"/>
    <w:lvl w:ilvl="0" w:tplc="E244F724">
      <w:start w:val="1"/>
      <w:numFmt w:val="bullet"/>
      <w:lvlText w:val="•"/>
      <w:lvlJc w:val="left"/>
      <w:pPr>
        <w:tabs>
          <w:tab w:val="num" w:pos="720"/>
        </w:tabs>
        <w:ind w:left="720" w:hanging="360"/>
      </w:pPr>
      <w:rPr>
        <w:rFonts w:ascii="Arial" w:hAnsi="Arial" w:cs="Times New Roman" w:hint="default"/>
      </w:rPr>
    </w:lvl>
    <w:lvl w:ilvl="1" w:tplc="B32C17D6">
      <w:start w:val="1"/>
      <w:numFmt w:val="bullet"/>
      <w:lvlText w:val="•"/>
      <w:lvlJc w:val="left"/>
      <w:pPr>
        <w:tabs>
          <w:tab w:val="num" w:pos="1440"/>
        </w:tabs>
        <w:ind w:left="1440" w:hanging="360"/>
      </w:pPr>
      <w:rPr>
        <w:rFonts w:ascii="Arial" w:hAnsi="Arial" w:cs="Times New Roman" w:hint="default"/>
      </w:rPr>
    </w:lvl>
    <w:lvl w:ilvl="2" w:tplc="F666697C">
      <w:start w:val="1"/>
      <w:numFmt w:val="bullet"/>
      <w:lvlText w:val="•"/>
      <w:lvlJc w:val="left"/>
      <w:pPr>
        <w:tabs>
          <w:tab w:val="num" w:pos="2160"/>
        </w:tabs>
        <w:ind w:left="2160" w:hanging="360"/>
      </w:pPr>
      <w:rPr>
        <w:rFonts w:ascii="Arial" w:hAnsi="Arial" w:cs="Times New Roman" w:hint="default"/>
      </w:rPr>
    </w:lvl>
    <w:lvl w:ilvl="3" w:tplc="1B32D51A">
      <w:start w:val="1"/>
      <w:numFmt w:val="bullet"/>
      <w:lvlText w:val="•"/>
      <w:lvlJc w:val="left"/>
      <w:pPr>
        <w:tabs>
          <w:tab w:val="num" w:pos="2880"/>
        </w:tabs>
        <w:ind w:left="2880" w:hanging="360"/>
      </w:pPr>
      <w:rPr>
        <w:rFonts w:ascii="Arial" w:hAnsi="Arial" w:cs="Times New Roman" w:hint="default"/>
      </w:rPr>
    </w:lvl>
    <w:lvl w:ilvl="4" w:tplc="05B09534">
      <w:start w:val="1"/>
      <w:numFmt w:val="bullet"/>
      <w:lvlText w:val="•"/>
      <w:lvlJc w:val="left"/>
      <w:pPr>
        <w:tabs>
          <w:tab w:val="num" w:pos="3600"/>
        </w:tabs>
        <w:ind w:left="3600" w:hanging="360"/>
      </w:pPr>
      <w:rPr>
        <w:rFonts w:ascii="Arial" w:hAnsi="Arial" w:cs="Times New Roman" w:hint="default"/>
      </w:rPr>
    </w:lvl>
    <w:lvl w:ilvl="5" w:tplc="916C519C">
      <w:start w:val="1"/>
      <w:numFmt w:val="bullet"/>
      <w:lvlText w:val="•"/>
      <w:lvlJc w:val="left"/>
      <w:pPr>
        <w:tabs>
          <w:tab w:val="num" w:pos="4320"/>
        </w:tabs>
        <w:ind w:left="4320" w:hanging="360"/>
      </w:pPr>
      <w:rPr>
        <w:rFonts w:ascii="Arial" w:hAnsi="Arial" w:cs="Times New Roman" w:hint="default"/>
      </w:rPr>
    </w:lvl>
    <w:lvl w:ilvl="6" w:tplc="5C9E8B32">
      <w:start w:val="1"/>
      <w:numFmt w:val="bullet"/>
      <w:lvlText w:val="•"/>
      <w:lvlJc w:val="left"/>
      <w:pPr>
        <w:tabs>
          <w:tab w:val="num" w:pos="5040"/>
        </w:tabs>
        <w:ind w:left="5040" w:hanging="360"/>
      </w:pPr>
      <w:rPr>
        <w:rFonts w:ascii="Arial" w:hAnsi="Arial" w:cs="Times New Roman" w:hint="default"/>
      </w:rPr>
    </w:lvl>
    <w:lvl w:ilvl="7" w:tplc="767CD112">
      <w:start w:val="1"/>
      <w:numFmt w:val="bullet"/>
      <w:lvlText w:val="•"/>
      <w:lvlJc w:val="left"/>
      <w:pPr>
        <w:tabs>
          <w:tab w:val="num" w:pos="5760"/>
        </w:tabs>
        <w:ind w:left="5760" w:hanging="360"/>
      </w:pPr>
      <w:rPr>
        <w:rFonts w:ascii="Arial" w:hAnsi="Arial" w:cs="Times New Roman" w:hint="default"/>
      </w:rPr>
    </w:lvl>
    <w:lvl w:ilvl="8" w:tplc="5262D3CE">
      <w:start w:val="1"/>
      <w:numFmt w:val="bullet"/>
      <w:lvlText w:val="•"/>
      <w:lvlJc w:val="left"/>
      <w:pPr>
        <w:tabs>
          <w:tab w:val="num" w:pos="6480"/>
        </w:tabs>
        <w:ind w:left="6480" w:hanging="360"/>
      </w:pPr>
      <w:rPr>
        <w:rFonts w:ascii="Arial" w:hAnsi="Arial" w:cs="Times New Roman"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37"/>
    <w:rsid w:val="00004D37"/>
    <w:rsid w:val="00376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A34F2-6130-4F53-844F-50D2E81C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37"/>
    <w:pPr>
      <w:spacing w:after="0" w:line="240" w:lineRule="auto"/>
    </w:pPr>
    <w:rPr>
      <w:rFonts w:ascii="Aptos" w:hAnsi="Aptos" w:cs="Times New Roman"/>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4D37"/>
    <w:pPr>
      <w:spacing w:before="100" w:beforeAutospacing="1" w:after="100" w:afterAutospacing="1"/>
    </w:pPr>
    <w:rPr>
      <w:rFonts w:ascii="Times New Roman" w:hAnsi="Times New Roman"/>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2025-02-27T10:13:00Z</dcterms:created>
  <dcterms:modified xsi:type="dcterms:W3CDTF">2025-02-27T10:13:00Z</dcterms:modified>
</cp:coreProperties>
</file>