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CE" w:rsidRPr="007375CE" w:rsidRDefault="007375CE" w:rsidP="007375CE">
      <w:pPr>
        <w:spacing w:after="75" w:line="360" w:lineRule="atLeast"/>
        <w:textAlignment w:val="baseline"/>
        <w:outlineLvl w:val="0"/>
        <w:rPr>
          <w:rFonts w:ascii="inherit" w:eastAsia="Times New Roman" w:hAnsi="inherit" w:cs="Arial"/>
          <w:b/>
          <w:bCs/>
          <w:color w:val="1D567D"/>
          <w:spacing w:val="-1"/>
          <w:kern w:val="36"/>
          <w:sz w:val="33"/>
          <w:szCs w:val="33"/>
          <w:lang w:eastAsia="tr-TR"/>
        </w:rPr>
      </w:pPr>
      <w:bookmarkStart w:id="0" w:name="_GoBack"/>
      <w:bookmarkEnd w:id="0"/>
      <w:r w:rsidRPr="007375CE">
        <w:rPr>
          <w:rFonts w:ascii="inherit" w:eastAsia="Times New Roman" w:hAnsi="inherit" w:cs="Arial"/>
          <w:b/>
          <w:bCs/>
          <w:color w:val="1D567D"/>
          <w:spacing w:val="-1"/>
          <w:kern w:val="36"/>
          <w:sz w:val="33"/>
          <w:szCs w:val="33"/>
          <w:lang w:eastAsia="tr-TR"/>
        </w:rPr>
        <w:t>TURKCELL (TCELL) 2024 4. Çeyrek Bilanço Analizi</w:t>
      </w:r>
    </w:p>
    <w:p w:rsidR="007375CE" w:rsidRPr="007375CE" w:rsidRDefault="007375CE" w:rsidP="007375CE">
      <w:pPr>
        <w:spacing w:line="330" w:lineRule="atLeast"/>
        <w:textAlignment w:val="baseline"/>
        <w:rPr>
          <w:rFonts w:ascii="inherit" w:eastAsia="Times New Roman" w:hAnsi="inherit" w:cs="Arial"/>
          <w:color w:val="5F676F"/>
          <w:spacing w:val="-1"/>
          <w:sz w:val="24"/>
          <w:szCs w:val="24"/>
          <w:lang w:eastAsia="tr-TR"/>
        </w:rPr>
      </w:pPr>
      <w:r w:rsidRPr="007375CE">
        <w:rPr>
          <w:rFonts w:ascii="inherit" w:eastAsia="Times New Roman" w:hAnsi="inherit" w:cs="Arial"/>
          <w:color w:val="5F676F"/>
          <w:spacing w:val="-1"/>
          <w:sz w:val="24"/>
          <w:szCs w:val="24"/>
          <w:bdr w:val="none" w:sz="0" w:space="0" w:color="auto" w:frame="1"/>
          <w:lang w:eastAsia="tr-TR"/>
        </w:rPr>
        <w:t>28 Şubat 2025</w:t>
      </w:r>
      <w:hyperlink r:id="rId4" w:tgtFrame="_blank" w:tooltip="GCM Araştırma &amp; Analiz" w:history="1">
        <w:r w:rsidRPr="007375CE">
          <w:rPr>
            <w:rFonts w:ascii="inherit" w:eastAsia="Times New Roman" w:hAnsi="inherit" w:cs="Arial"/>
            <w:color w:val="0000FF"/>
            <w:spacing w:val="-1"/>
            <w:sz w:val="24"/>
            <w:szCs w:val="24"/>
            <w:u w:val="single"/>
            <w:bdr w:val="none" w:sz="0" w:space="0" w:color="auto" w:frame="1"/>
            <w:lang w:eastAsia="tr-TR"/>
          </w:rPr>
          <w:t>GCM Araştırma &amp; Analiz</w:t>
        </w:r>
      </w:hyperlink>
      <w:r w:rsidRPr="007375CE">
        <w:rPr>
          <w:rFonts w:ascii="inherit" w:eastAsia="Times New Roman" w:hAnsi="inherit" w:cs="Arial"/>
          <w:color w:val="5F676F"/>
          <w:spacing w:val="-1"/>
          <w:sz w:val="24"/>
          <w:szCs w:val="24"/>
          <w:bdr w:val="none" w:sz="0" w:space="0" w:color="auto" w:frame="1"/>
          <w:lang w:eastAsia="tr-TR"/>
        </w:rPr>
        <w:t>- Araştırma &amp; Analiz</w:t>
      </w:r>
    </w:p>
    <w:p w:rsidR="007375CE" w:rsidRPr="007375CE" w:rsidRDefault="007375CE" w:rsidP="007375CE">
      <w:pPr>
        <w:spacing w:after="225"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noProof/>
          <w:color w:val="000000"/>
          <w:spacing w:val="-1"/>
          <w:sz w:val="24"/>
          <w:szCs w:val="24"/>
          <w:lang w:eastAsia="tr-TR"/>
        </w:rPr>
        <w:drawing>
          <wp:inline distT="0" distB="0" distL="0" distR="0">
            <wp:extent cx="10306050" cy="5095875"/>
            <wp:effectExtent l="0" t="0" r="0" b="9525"/>
            <wp:docPr id="1" name="Resim 1" descr="https://www.gcmyatirim.com.tr/wp-content/uploads/2025/02/28/tcell4c24-finansal_1740722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2/28/tcell4c24-finansal_17407226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0" cy="5095875"/>
                    </a:xfrm>
                    <a:prstGeom prst="rect">
                      <a:avLst/>
                    </a:prstGeom>
                    <a:noFill/>
                    <a:ln>
                      <a:noFill/>
                    </a:ln>
                  </pic:spPr>
                </pic:pic>
              </a:graphicData>
            </a:graphic>
          </wp:inline>
        </w:drawing>
      </w:r>
    </w:p>
    <w:p w:rsidR="007375CE" w:rsidRPr="007375CE" w:rsidRDefault="007375CE" w:rsidP="007375CE">
      <w:pPr>
        <w:spacing w:after="0" w:line="300" w:lineRule="atLeast"/>
        <w:ind w:left="150" w:right="150"/>
        <w:textAlignment w:val="baseline"/>
        <w:rPr>
          <w:rFonts w:ascii="inherit" w:eastAsia="Times New Roman" w:hAnsi="inherit" w:cs="Arial"/>
          <w:color w:val="000000"/>
          <w:spacing w:val="-1"/>
          <w:sz w:val="24"/>
          <w:szCs w:val="24"/>
          <w:lang w:eastAsia="tr-TR"/>
        </w:rPr>
      </w:pPr>
      <w:hyperlink r:id="rId6" w:tgtFrame="_blank" w:tooltip="TCELL Hisse" w:history="1">
        <w:r w:rsidRPr="007375CE">
          <w:rPr>
            <w:rFonts w:ascii="inherit" w:eastAsia="Times New Roman" w:hAnsi="inherit" w:cs="Arial"/>
            <w:b/>
            <w:bCs/>
            <w:color w:val="0000FF"/>
            <w:spacing w:val="-1"/>
            <w:sz w:val="24"/>
            <w:szCs w:val="24"/>
            <w:u w:val="single"/>
            <w:bdr w:val="none" w:sz="0" w:space="0" w:color="auto" w:frame="1"/>
            <w:lang w:eastAsia="tr-TR"/>
          </w:rPr>
          <w:t>Turkcell</w:t>
        </w:r>
      </w:hyperlink>
      <w:r w:rsidRPr="007375CE">
        <w:rPr>
          <w:rFonts w:ascii="inherit" w:eastAsia="Times New Roman" w:hAnsi="inherit" w:cs="Arial"/>
          <w:color w:val="000000"/>
          <w:spacing w:val="-1"/>
          <w:sz w:val="24"/>
          <w:szCs w:val="24"/>
          <w:lang w:eastAsia="tr-TR"/>
        </w:rPr>
        <w:t> 4Ç24’de 1.680mn TL kar açıkladı. Bu beklentiler olan 3.760 mn TL’nin oldukça altında kaldı ve yıllık %93 geriledi. Ancak Vergi Öncesi Kar %75 artış gösterdi. Yüksek vergi karşılığı bunda etkili oldu. Şirket 2024 yılını %30 artışla 23.525 mn TL net kar ile kapadı.</w:t>
      </w:r>
    </w:p>
    <w:p w:rsidR="007375CE" w:rsidRPr="007375CE" w:rsidRDefault="007375CE" w:rsidP="007375CE">
      <w:pPr>
        <w:spacing w:after="225"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color w:val="000000"/>
          <w:spacing w:val="-1"/>
          <w:sz w:val="24"/>
          <w:szCs w:val="24"/>
          <w:lang w:eastAsia="tr-TR"/>
        </w:rPr>
        <w:t>FAVÖK 17.782mnTL ile beklentilere paralel gelirken, 2024 yılında 4 artış ile 70.686 mn TL seviyesinde oluştu. FAÖK marjı 4Ç24’de %42 oldu, yıllık 3.8 gerileme oluştu.</w:t>
      </w:r>
    </w:p>
    <w:p w:rsidR="007375CE" w:rsidRPr="007375CE" w:rsidRDefault="007375CE" w:rsidP="007375CE">
      <w:pPr>
        <w:spacing w:after="225"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color w:val="000000"/>
          <w:spacing w:val="-1"/>
          <w:sz w:val="24"/>
          <w:szCs w:val="24"/>
          <w:lang w:eastAsia="tr-TR"/>
        </w:rPr>
        <w:t>Aynı dönemde Satış gelirleri beklentilere paralel 42.641 mn TL olurken, yıllık %13 büyüdü. 2024 yılında TCELL satış gelirleri %7 büyüme ile 158.854 mn TL oldu.</w:t>
      </w:r>
    </w:p>
    <w:p w:rsidR="007375CE" w:rsidRPr="007375CE" w:rsidRDefault="007375CE" w:rsidP="007375CE">
      <w:pPr>
        <w:spacing w:after="225"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color w:val="000000"/>
          <w:spacing w:val="-1"/>
          <w:sz w:val="24"/>
          <w:szCs w:val="24"/>
          <w:lang w:eastAsia="tr-TR"/>
        </w:rPr>
        <w:t>2024 yılı sonunda net borç 28.525 mn TL seviyesine geriledi. 2023 yılında 36.435mn TL idi. Net borç Favök oranı 0.40x seviyesinde bulunuyor.</w:t>
      </w:r>
    </w:p>
    <w:p w:rsidR="007375CE" w:rsidRPr="007375CE" w:rsidRDefault="007375CE" w:rsidP="007375CE">
      <w:pPr>
        <w:spacing w:after="225"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color w:val="000000"/>
          <w:spacing w:val="-1"/>
          <w:sz w:val="24"/>
          <w:szCs w:val="24"/>
          <w:lang w:eastAsia="tr-TR"/>
        </w:rPr>
        <w:t>Şirket serbest nakit akışı 2024 yılında 24 milyar TL olurken, 2023 yılında 26 milyar TL olmuştu. Güçlü nakit akışları devam ediyor.</w:t>
      </w:r>
    </w:p>
    <w:p w:rsidR="007375CE" w:rsidRPr="007375CE" w:rsidRDefault="007375CE" w:rsidP="007375CE">
      <w:pPr>
        <w:spacing w:after="300" w:line="300" w:lineRule="atLeast"/>
        <w:ind w:left="150" w:right="150"/>
        <w:textAlignment w:val="baseline"/>
        <w:rPr>
          <w:rFonts w:ascii="inherit" w:eastAsia="Times New Roman" w:hAnsi="inherit" w:cs="Arial"/>
          <w:color w:val="000000"/>
          <w:spacing w:val="-1"/>
          <w:sz w:val="24"/>
          <w:szCs w:val="24"/>
          <w:lang w:eastAsia="tr-TR"/>
        </w:rPr>
      </w:pPr>
      <w:r w:rsidRPr="007375CE">
        <w:rPr>
          <w:rFonts w:ascii="inherit" w:eastAsia="Times New Roman" w:hAnsi="inherit" w:cs="Arial"/>
          <w:color w:val="000000"/>
          <w:spacing w:val="-1"/>
          <w:sz w:val="24"/>
          <w:szCs w:val="24"/>
          <w:lang w:eastAsia="tr-TR"/>
        </w:rPr>
        <w:lastRenderedPageBreak/>
        <w:t>TCELL 10x f/k, 1.27x pd/dd ve 3.76x fd/favök çarpanları ile işlem görmekte. Açıklanan sonuçları güçlü buluyoruz. Ner kar rakamının beklentinin altında gelmesi kısa vadede baskı yaratabilir ancak orta ve uzun vadede reel büyümenin devam etmesi ve güçlü nakit akışları hisseyi pozitif etkilemeye devam edebilir. TCELL’i Model Portföyümüzde bulunuyor ve 153.90TL hedef fiyatımız bulunuyor.</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CE"/>
    <w:rsid w:val="00376999"/>
    <w:rsid w:val="00737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BE5DF-B085-4B59-9E08-D11C54F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37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75CE"/>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375CE"/>
    <w:rPr>
      <w:color w:val="0000FF"/>
      <w:u w:val="single"/>
    </w:rPr>
  </w:style>
  <w:style w:type="paragraph" w:styleId="NormalWeb">
    <w:name w:val="Normal (Web)"/>
    <w:basedOn w:val="Normal"/>
    <w:uiPriority w:val="99"/>
    <w:semiHidden/>
    <w:unhideWhenUsed/>
    <w:rsid w:val="007375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43373">
      <w:bodyDiv w:val="1"/>
      <w:marLeft w:val="0"/>
      <w:marRight w:val="0"/>
      <w:marTop w:val="0"/>
      <w:marBottom w:val="0"/>
      <w:divBdr>
        <w:top w:val="none" w:sz="0" w:space="0" w:color="auto"/>
        <w:left w:val="none" w:sz="0" w:space="0" w:color="auto"/>
        <w:bottom w:val="none" w:sz="0" w:space="0" w:color="auto"/>
        <w:right w:val="none" w:sz="0" w:space="0" w:color="auto"/>
      </w:divBdr>
      <w:divsChild>
        <w:div w:id="1177840399">
          <w:marLeft w:val="0"/>
          <w:marRight w:val="0"/>
          <w:marTop w:val="0"/>
          <w:marBottom w:val="300"/>
          <w:divBdr>
            <w:top w:val="single" w:sz="6" w:space="19" w:color="E4E9F2"/>
            <w:left w:val="none" w:sz="0" w:space="26" w:color="auto"/>
            <w:bottom w:val="single" w:sz="6" w:space="19" w:color="E4E9F2"/>
            <w:right w:val="none" w:sz="0" w:space="26" w:color="auto"/>
          </w:divBdr>
          <w:divsChild>
            <w:div w:id="1896698661">
              <w:marLeft w:val="0"/>
              <w:marRight w:val="0"/>
              <w:marTop w:val="0"/>
              <w:marBottom w:val="0"/>
              <w:divBdr>
                <w:top w:val="none" w:sz="0" w:space="0" w:color="auto"/>
                <w:left w:val="none" w:sz="0" w:space="0" w:color="auto"/>
                <w:bottom w:val="none" w:sz="0" w:space="0" w:color="auto"/>
                <w:right w:val="none" w:sz="0" w:space="0" w:color="auto"/>
              </w:divBdr>
              <w:divsChild>
                <w:div w:id="838156802">
                  <w:marLeft w:val="0"/>
                  <w:marRight w:val="0"/>
                  <w:marTop w:val="0"/>
                  <w:marBottom w:val="0"/>
                  <w:divBdr>
                    <w:top w:val="none" w:sz="0" w:space="0" w:color="auto"/>
                    <w:left w:val="none" w:sz="0" w:space="0" w:color="auto"/>
                    <w:bottom w:val="none" w:sz="0" w:space="0" w:color="auto"/>
                    <w:right w:val="none" w:sz="0" w:space="0" w:color="auto"/>
                  </w:divBdr>
                  <w:divsChild>
                    <w:div w:id="56191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529248">
          <w:marLeft w:val="0"/>
          <w:marRight w:val="0"/>
          <w:marTop w:val="0"/>
          <w:marBottom w:val="0"/>
          <w:divBdr>
            <w:top w:val="none" w:sz="0" w:space="0" w:color="auto"/>
            <w:left w:val="none" w:sz="0" w:space="0" w:color="auto"/>
            <w:bottom w:val="none" w:sz="0" w:space="0" w:color="auto"/>
            <w:right w:val="none" w:sz="0" w:space="0" w:color="auto"/>
          </w:divBdr>
          <w:divsChild>
            <w:div w:id="961959038">
              <w:marLeft w:val="0"/>
              <w:marRight w:val="0"/>
              <w:marTop w:val="0"/>
              <w:marBottom w:val="0"/>
              <w:divBdr>
                <w:top w:val="none" w:sz="0" w:space="0" w:color="auto"/>
                <w:left w:val="none" w:sz="0" w:space="0" w:color="auto"/>
                <w:bottom w:val="none" w:sz="0" w:space="0" w:color="auto"/>
                <w:right w:val="none" w:sz="0" w:space="0" w:color="auto"/>
              </w:divBdr>
              <w:divsChild>
                <w:div w:id="11448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myatirim.com.tr/borsa/hisse/tcell-hisse-turkcell-iletisim-hizmetleri-a-s" TargetMode="External"/><Relationship Id="rId5" Type="http://schemas.openxmlformats.org/officeDocument/2006/relationships/image" Target="media/image1.png"/><Relationship Id="rId4" Type="http://schemas.openxmlformats.org/officeDocument/2006/relationships/hyperlink" Target="https://www.gcmyatirim.com.tr/yazarlar/gcm-yatir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2025-02-28T07:47:00Z</dcterms:created>
  <dcterms:modified xsi:type="dcterms:W3CDTF">2025-02-28T07:47:00Z</dcterms:modified>
</cp:coreProperties>
</file>