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99" w:rsidRDefault="00016162">
      <w:pPr>
        <w:rPr>
          <w:rStyle w:val="Gl"/>
          <w:rFonts w:ascii="Arial" w:hAnsi="Arial" w:cs="Arial"/>
          <w:color w:val="000000"/>
          <w:spacing w:val="-1"/>
          <w:bdr w:val="none" w:sz="0" w:space="0" w:color="auto" w:frame="1"/>
        </w:rPr>
      </w:pPr>
      <w:bookmarkStart w:id="0" w:name="_GoBack"/>
      <w:r>
        <w:rPr>
          <w:rStyle w:val="Gl"/>
          <w:rFonts w:ascii="Arial" w:hAnsi="Arial" w:cs="Arial"/>
          <w:color w:val="000000"/>
          <w:spacing w:val="-1"/>
          <w:bdr w:val="none" w:sz="0" w:space="0" w:color="auto" w:frame="1"/>
        </w:rPr>
        <w:t>SISE Cam'ı Model Portföyden Çıkarıyoruz - 28.02.2025</w:t>
      </w:r>
      <w:r>
        <w:rPr>
          <w:rFonts w:ascii="Arial" w:hAnsi="Arial" w:cs="Arial"/>
          <w:color w:val="000000"/>
          <w:spacing w:val="-1"/>
        </w:rPr>
        <w:br/>
        <w:t xml:space="preserve">Şişe Cam’da 4Ç24’de finansallar beklentilerin altında gerçekleşti. Şirket’in kar </w:t>
      </w:r>
      <w:proofErr w:type="gramStart"/>
      <w:r>
        <w:rPr>
          <w:rFonts w:ascii="Arial" w:hAnsi="Arial" w:cs="Arial"/>
          <w:color w:val="000000"/>
          <w:spacing w:val="-1"/>
        </w:rPr>
        <w:t>marjlarındaki</w:t>
      </w:r>
      <w:proofErr w:type="gramEnd"/>
      <w:r>
        <w:rPr>
          <w:rFonts w:ascii="Arial" w:hAnsi="Arial" w:cs="Arial"/>
          <w:color w:val="000000"/>
          <w:spacing w:val="-1"/>
        </w:rPr>
        <w:t xml:space="preserve"> bozulma devam ediyor. Olumsuz giden </w:t>
      </w:r>
      <w:proofErr w:type="gramStart"/>
      <w:r>
        <w:rPr>
          <w:rFonts w:ascii="Arial" w:hAnsi="Arial" w:cs="Arial"/>
          <w:color w:val="000000"/>
          <w:spacing w:val="-1"/>
        </w:rPr>
        <w:t>global</w:t>
      </w:r>
      <w:proofErr w:type="gramEnd"/>
      <w:r>
        <w:rPr>
          <w:rFonts w:ascii="Arial" w:hAnsi="Arial" w:cs="Arial"/>
          <w:color w:val="000000"/>
          <w:spacing w:val="-1"/>
        </w:rPr>
        <w:t xml:space="preserve"> ekonomik koşullar, net borç / </w:t>
      </w:r>
      <w:proofErr w:type="spellStart"/>
      <w:r>
        <w:rPr>
          <w:rFonts w:ascii="Arial" w:hAnsi="Arial" w:cs="Arial"/>
          <w:color w:val="000000"/>
          <w:spacing w:val="-1"/>
        </w:rPr>
        <w:t>favök</w:t>
      </w:r>
      <w:proofErr w:type="spellEnd"/>
      <w:r>
        <w:rPr>
          <w:rFonts w:ascii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</w:rPr>
        <w:t>rasyosunda</w:t>
      </w:r>
      <w:proofErr w:type="spellEnd"/>
      <w:r>
        <w:rPr>
          <w:rFonts w:ascii="Arial" w:hAnsi="Arial" w:cs="Arial"/>
          <w:color w:val="000000"/>
          <w:spacing w:val="-1"/>
        </w:rPr>
        <w:t xml:space="preserve"> bozulmaya neden olmakta. 4Ç döneminde esas faaliyetlerinden zarara geçmiş durumda. Kar </w:t>
      </w:r>
      <w:proofErr w:type="gramStart"/>
      <w:r>
        <w:rPr>
          <w:rFonts w:ascii="Arial" w:hAnsi="Arial" w:cs="Arial"/>
          <w:color w:val="000000"/>
          <w:spacing w:val="-1"/>
        </w:rPr>
        <w:t>marjlarında</w:t>
      </w:r>
      <w:proofErr w:type="gramEnd"/>
      <w:r>
        <w:rPr>
          <w:rFonts w:ascii="Arial" w:hAnsi="Arial" w:cs="Arial"/>
          <w:color w:val="000000"/>
          <w:spacing w:val="-1"/>
        </w:rPr>
        <w:t xml:space="preserve"> toparlanma 2025 yılında beklenebilir ancak bunun ne zaman olacağını tahmin etmek güç. Şişe Cam için gelecek çeyreklerdeki gelişmeler önemli olacak. Bu sonuçların ardından 6 Mayıs 2022’de Model Portföyümüze 17.71TL’den  </w:t>
      </w:r>
      <w:proofErr w:type="gramStart"/>
      <w:r>
        <w:rPr>
          <w:rFonts w:ascii="Arial" w:hAnsi="Arial" w:cs="Arial"/>
          <w:color w:val="000000"/>
          <w:spacing w:val="-1"/>
        </w:rPr>
        <w:t>dahil</w:t>
      </w:r>
      <w:proofErr w:type="gramEnd"/>
      <w:r>
        <w:rPr>
          <w:rFonts w:ascii="Arial" w:hAnsi="Arial" w:cs="Arial"/>
          <w:color w:val="000000"/>
          <w:spacing w:val="-1"/>
        </w:rPr>
        <w:t xml:space="preserve"> ettiğimiz Şişe Cam’ı 36.54 TL’den %106.4 getiri ile çıkartıyoruz.  </w:t>
      </w:r>
      <w:r>
        <w:rPr>
          <w:rStyle w:val="Gl"/>
          <w:rFonts w:ascii="Arial" w:hAnsi="Arial" w:cs="Arial"/>
          <w:color w:val="000000"/>
          <w:spacing w:val="-1"/>
          <w:bdr w:val="none" w:sz="0" w:space="0" w:color="auto" w:frame="1"/>
        </w:rPr>
        <w:t> </w:t>
      </w:r>
    </w:p>
    <w:p w:rsidR="00016162" w:rsidRDefault="00016162">
      <w:hyperlink r:id="rId4" w:history="1">
        <w:r>
          <w:rPr>
            <w:rStyle w:val="Kpr"/>
          </w:rPr>
          <w:t>Model Portföy Hisse Önerileri | GCM Yatırım</w:t>
        </w:r>
      </w:hyperlink>
    </w:p>
    <w:p w:rsidR="00016162" w:rsidRDefault="00016162" w:rsidP="00016162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noProof/>
          <w:color w:val="000000"/>
          <w:spacing w:val="-1"/>
        </w:rPr>
        <w:drawing>
          <wp:inline distT="0" distB="0" distL="0" distR="0">
            <wp:extent cx="10306050" cy="5095875"/>
            <wp:effectExtent l="0" t="0" r="0" b="9525"/>
            <wp:docPr id="1" name="Resim 1" descr="https://www.gcmyatirim.com.tr/wp-content/uploads/2025/02/28/sise4c24-finansal_1740721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cmyatirim.com.tr/wp-content/uploads/2025/02/28/sise4c24-finansal_17407212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162" w:rsidRDefault="00016162" w:rsidP="00016162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Şişe Cam 4Ç24’de beklentilerin altında 1.527mn TL zarar açıkladı. Beklentiler 213mnTL kar açıklayacağı yönündeydi. Satışlardaki düşüş, Brüt kar </w:t>
      </w:r>
      <w:proofErr w:type="gramStart"/>
      <w:r>
        <w:rPr>
          <w:rFonts w:ascii="Arial" w:hAnsi="Arial" w:cs="Arial"/>
          <w:color w:val="000000"/>
          <w:spacing w:val="-1"/>
        </w:rPr>
        <w:t>marjındaki</w:t>
      </w:r>
      <w:proofErr w:type="gramEnd"/>
      <w:r>
        <w:rPr>
          <w:rFonts w:ascii="Arial" w:hAnsi="Arial" w:cs="Arial"/>
          <w:color w:val="000000"/>
          <w:spacing w:val="-1"/>
        </w:rPr>
        <w:t xml:space="preserve"> gerileme ve faaliyet giderlerindeki artış etkili oldu. Şirket 2024 yılını %80 düşüşle 5.022mn TL kar ile kapadı.</w:t>
      </w:r>
    </w:p>
    <w:p w:rsidR="00016162" w:rsidRDefault="00016162" w:rsidP="00016162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FAVÖK beklentilerin altında 944mnTL olurken, beklentiler 2.623mn TL düzeyindeydi. FAVÖK yıllık %77 gerilerken, Faaliyet kar </w:t>
      </w:r>
      <w:proofErr w:type="gramStart"/>
      <w:r>
        <w:rPr>
          <w:rFonts w:ascii="Arial" w:hAnsi="Arial" w:cs="Arial"/>
          <w:color w:val="000000"/>
          <w:spacing w:val="-1"/>
        </w:rPr>
        <w:t>marjındaki</w:t>
      </w:r>
      <w:proofErr w:type="gramEnd"/>
      <w:r>
        <w:rPr>
          <w:rFonts w:ascii="Arial" w:hAnsi="Arial" w:cs="Arial"/>
          <w:color w:val="000000"/>
          <w:spacing w:val="-1"/>
        </w:rPr>
        <w:t xml:space="preserve"> gerileme etkili oldu. FAVÖK Marjı 4Ç24’de %2 oldu, geçen yıl aynı dönemde %8’di. Artan maliyet baskıları, düşük talep, düşük fiyat baskısı yıl genelinde Şişe Cam üzerinde etkili oldu.</w:t>
      </w:r>
    </w:p>
    <w:p w:rsidR="00016162" w:rsidRDefault="00016162" w:rsidP="00016162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lastRenderedPageBreak/>
        <w:t xml:space="preserve">Satış gelirleri bu dönemde beklentilerin hafif üzerinde 41.703 </w:t>
      </w:r>
      <w:proofErr w:type="spellStart"/>
      <w:r>
        <w:rPr>
          <w:rFonts w:ascii="Arial" w:hAnsi="Arial" w:cs="Arial"/>
          <w:color w:val="000000"/>
          <w:spacing w:val="-1"/>
        </w:rPr>
        <w:t>mn</w:t>
      </w:r>
      <w:proofErr w:type="spellEnd"/>
      <w:r>
        <w:rPr>
          <w:rFonts w:ascii="Arial" w:hAnsi="Arial" w:cs="Arial"/>
          <w:color w:val="000000"/>
          <w:spacing w:val="-1"/>
        </w:rPr>
        <w:t xml:space="preserve"> TL düzeyinde oluştu (beklenti 40.730mn TL), yıllık %19 geriledi. Uluslararası satışlar toplam satışların %59’unu oluşturdu.</w:t>
      </w:r>
    </w:p>
    <w:p w:rsidR="00016162" w:rsidRDefault="00016162" w:rsidP="00016162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Aktif kârlılığı 1.23% olurken, geçen yıl aynı dönemde 6.99% olmuştu. Sektör ortalaması 1.32% seviyesinde bulunuyor. </w:t>
      </w:r>
      <w:proofErr w:type="spellStart"/>
      <w:r>
        <w:rPr>
          <w:rFonts w:ascii="Arial" w:hAnsi="Arial" w:cs="Arial"/>
          <w:color w:val="000000"/>
          <w:spacing w:val="-1"/>
        </w:rPr>
        <w:t>Özsermaye</w:t>
      </w:r>
      <w:proofErr w:type="spellEnd"/>
      <w:r>
        <w:rPr>
          <w:rFonts w:ascii="Arial" w:hAnsi="Arial" w:cs="Arial"/>
          <w:color w:val="000000"/>
          <w:spacing w:val="-1"/>
        </w:rPr>
        <w:t xml:space="preserve"> kârlılığı 2.57% olurken, geçen yıl aynı dönemde 14.26% olmuştu. Sektör ortalaması 2.68% seviyesinde bulunuyor.        </w:t>
      </w:r>
    </w:p>
    <w:p w:rsidR="00016162" w:rsidRDefault="00016162" w:rsidP="00016162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Bu dönemin sonunda şirketin 73,795 </w:t>
      </w:r>
      <w:proofErr w:type="spellStart"/>
      <w:r>
        <w:rPr>
          <w:rFonts w:ascii="Arial" w:hAnsi="Arial" w:cs="Arial"/>
          <w:color w:val="000000"/>
          <w:spacing w:val="-1"/>
        </w:rPr>
        <w:t>mn</w:t>
      </w:r>
      <w:proofErr w:type="spellEnd"/>
      <w:r>
        <w:rPr>
          <w:rFonts w:ascii="Arial" w:hAnsi="Arial" w:cs="Arial"/>
          <w:color w:val="000000"/>
          <w:spacing w:val="-1"/>
        </w:rPr>
        <w:t xml:space="preserve"> TL net borcu bulunuyor. 2023 yılının sonunda şirketin 58,361 </w:t>
      </w:r>
      <w:proofErr w:type="spellStart"/>
      <w:r>
        <w:rPr>
          <w:rFonts w:ascii="Arial" w:hAnsi="Arial" w:cs="Arial"/>
          <w:color w:val="000000"/>
          <w:spacing w:val="-1"/>
        </w:rPr>
        <w:t>mn</w:t>
      </w:r>
      <w:proofErr w:type="spellEnd"/>
      <w:r>
        <w:rPr>
          <w:rFonts w:ascii="Arial" w:hAnsi="Arial" w:cs="Arial"/>
          <w:color w:val="000000"/>
          <w:spacing w:val="-1"/>
        </w:rPr>
        <w:t xml:space="preserve"> TL borcu bulunuyordu. Net borç / FAVÖK oranı 6.82x seviyesinde bulunuyor. 2023 yılında 2x seviyesindeydi.</w:t>
      </w:r>
    </w:p>
    <w:p w:rsidR="00016162" w:rsidRDefault="00016162" w:rsidP="00016162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>Şirket’in serbest nakit akışı -645mn TL seviyesinde oluştu. 2023 yılında 24.2 milyon TL nakit akışı elde etmişti.</w:t>
      </w:r>
    </w:p>
    <w:p w:rsidR="00016162" w:rsidRDefault="00016162" w:rsidP="00016162">
      <w:pPr>
        <w:pStyle w:val="NormalWeb"/>
        <w:spacing w:before="0" w:beforeAutospacing="0" w:after="225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Şirket son kapanışa göre 185,725 </w:t>
      </w:r>
      <w:proofErr w:type="spellStart"/>
      <w:r>
        <w:rPr>
          <w:rFonts w:ascii="Arial" w:hAnsi="Arial" w:cs="Arial"/>
          <w:color w:val="000000"/>
          <w:spacing w:val="-1"/>
        </w:rPr>
        <w:t>mn</w:t>
      </w:r>
      <w:proofErr w:type="spellEnd"/>
      <w:r>
        <w:rPr>
          <w:rFonts w:ascii="Arial" w:hAnsi="Arial" w:cs="Arial"/>
          <w:color w:val="000000"/>
          <w:spacing w:val="-1"/>
        </w:rPr>
        <w:t xml:space="preserve"> TL firma değerinde bulunuyor. Son duruma göre 22.29x F/K (sektör 22.28x), 17.16x FD/FAVÖK (sektör 17.03x) ve 0.60x PD/DD (sektör0.63x) piyasa çarpanlarıyla işlem görüyor.</w:t>
      </w:r>
    </w:p>
    <w:p w:rsidR="00016162" w:rsidRDefault="00016162" w:rsidP="00016162">
      <w:pPr>
        <w:pStyle w:val="NormalWeb"/>
        <w:spacing w:before="0" w:beforeAutospacing="0" w:after="0" w:afterAutospacing="0"/>
        <w:ind w:left="150" w:right="150"/>
        <w:textAlignment w:val="baseline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  <w:spacing w:val="-1"/>
        </w:rPr>
        <w:t xml:space="preserve">Açıklanan finansallar beklentilerin altında gerçekleşti. Şirket’in kar </w:t>
      </w:r>
      <w:proofErr w:type="gramStart"/>
      <w:r>
        <w:rPr>
          <w:rFonts w:ascii="Arial" w:hAnsi="Arial" w:cs="Arial"/>
          <w:color w:val="000000"/>
          <w:spacing w:val="-1"/>
        </w:rPr>
        <w:t>marjlarındaki</w:t>
      </w:r>
      <w:proofErr w:type="gramEnd"/>
      <w:r>
        <w:rPr>
          <w:rFonts w:ascii="Arial" w:hAnsi="Arial" w:cs="Arial"/>
          <w:color w:val="000000"/>
          <w:spacing w:val="-1"/>
        </w:rPr>
        <w:t xml:space="preserve"> bozulma devam ediyor. Olumsuz giden </w:t>
      </w:r>
      <w:proofErr w:type="gramStart"/>
      <w:r>
        <w:rPr>
          <w:rFonts w:ascii="Arial" w:hAnsi="Arial" w:cs="Arial"/>
          <w:color w:val="000000"/>
          <w:spacing w:val="-1"/>
        </w:rPr>
        <w:t>global</w:t>
      </w:r>
      <w:proofErr w:type="gramEnd"/>
      <w:r>
        <w:rPr>
          <w:rFonts w:ascii="Arial" w:hAnsi="Arial" w:cs="Arial"/>
          <w:color w:val="000000"/>
          <w:spacing w:val="-1"/>
        </w:rPr>
        <w:t xml:space="preserve"> ekonomik koşullar net borç / </w:t>
      </w:r>
      <w:proofErr w:type="spellStart"/>
      <w:r>
        <w:rPr>
          <w:rFonts w:ascii="Arial" w:hAnsi="Arial" w:cs="Arial"/>
          <w:color w:val="000000"/>
          <w:spacing w:val="-1"/>
        </w:rPr>
        <w:t>favök</w:t>
      </w:r>
      <w:proofErr w:type="spellEnd"/>
      <w:r>
        <w:rPr>
          <w:rFonts w:ascii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</w:rPr>
        <w:t>rasyosunda</w:t>
      </w:r>
      <w:proofErr w:type="spellEnd"/>
      <w:r>
        <w:rPr>
          <w:rFonts w:ascii="Arial" w:hAnsi="Arial" w:cs="Arial"/>
          <w:color w:val="000000"/>
          <w:spacing w:val="-1"/>
        </w:rPr>
        <w:t xml:space="preserve"> bozulmaya neden olmakta. 4Ç döneminde esas faaliyetlerinden zarara geçmiş durumda. Kar </w:t>
      </w:r>
      <w:proofErr w:type="gramStart"/>
      <w:r>
        <w:rPr>
          <w:rFonts w:ascii="Arial" w:hAnsi="Arial" w:cs="Arial"/>
          <w:color w:val="000000"/>
          <w:spacing w:val="-1"/>
        </w:rPr>
        <w:t>marjlarında</w:t>
      </w:r>
      <w:proofErr w:type="gramEnd"/>
      <w:r>
        <w:rPr>
          <w:rFonts w:ascii="Arial" w:hAnsi="Arial" w:cs="Arial"/>
          <w:color w:val="000000"/>
          <w:spacing w:val="-1"/>
        </w:rPr>
        <w:t xml:space="preserve"> toparlanma 2025 yılında beklenebilir ancak bunun ne zaman olacağını tahmin etmek güç. </w:t>
      </w:r>
      <w:r>
        <w:rPr>
          <w:rStyle w:val="Gl"/>
          <w:rFonts w:ascii="inherit" w:hAnsi="inherit" w:cs="Arial"/>
          <w:color w:val="000000"/>
          <w:spacing w:val="-1"/>
          <w:bdr w:val="none" w:sz="0" w:space="0" w:color="auto" w:frame="1"/>
        </w:rPr>
        <w:t xml:space="preserve">Şişe Cam için gelecek çeyreklerdeki gelişmeler önemli olacak. Bu sonuçların ardından 6 Mayıs 2022’de Model Portföyümüze 17.71TL’den  </w:t>
      </w:r>
      <w:proofErr w:type="gramStart"/>
      <w:r>
        <w:rPr>
          <w:rStyle w:val="Gl"/>
          <w:rFonts w:ascii="inherit" w:hAnsi="inherit" w:cs="Arial"/>
          <w:color w:val="000000"/>
          <w:spacing w:val="-1"/>
          <w:bdr w:val="none" w:sz="0" w:space="0" w:color="auto" w:frame="1"/>
        </w:rPr>
        <w:t>dahil</w:t>
      </w:r>
      <w:proofErr w:type="gramEnd"/>
      <w:r>
        <w:rPr>
          <w:rStyle w:val="Gl"/>
          <w:rFonts w:ascii="inherit" w:hAnsi="inherit" w:cs="Arial"/>
          <w:color w:val="000000"/>
          <w:spacing w:val="-1"/>
          <w:bdr w:val="none" w:sz="0" w:space="0" w:color="auto" w:frame="1"/>
        </w:rPr>
        <w:t xml:space="preserve"> ettiğimiz Şişe Cam’ı 36.54 TL’den %106.4 getiri ile çıkartıyoruz.     </w:t>
      </w:r>
    </w:p>
    <w:p w:rsidR="00016162" w:rsidRDefault="00016162">
      <w:hyperlink r:id="rId6" w:history="1">
        <w:r w:rsidRPr="009C6424">
          <w:rPr>
            <w:rStyle w:val="Kpr"/>
          </w:rPr>
          <w:t>https://www.gcmyatirim.com.tr/arastirma-analiz/ozel-raporlar/2025-02-28-sise-cam-sise-2024-4-ceyrek-bilanco-analizi</w:t>
        </w:r>
      </w:hyperlink>
    </w:p>
    <w:bookmarkEnd w:id="0"/>
    <w:p w:rsidR="00016162" w:rsidRDefault="00016162"/>
    <w:sectPr w:rsidR="00016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62"/>
    <w:rsid w:val="00016162"/>
    <w:rsid w:val="003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3E09"/>
  <w15:chartTrackingRefBased/>
  <w15:docId w15:val="{10036852-11E4-4533-9190-139C9AEC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16162"/>
    <w:rPr>
      <w:b/>
      <w:bCs/>
    </w:rPr>
  </w:style>
  <w:style w:type="character" w:styleId="Kpr">
    <w:name w:val="Hyperlink"/>
    <w:basedOn w:val="VarsaylanParagrafYazTipi"/>
    <w:uiPriority w:val="99"/>
    <w:unhideWhenUsed/>
    <w:rsid w:val="000161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cmyatirim.com.tr/arastirma-analiz/ozel-raporlar/2025-02-28-sise-cam-sise-2024-4-ceyrek-bilanco-analizi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cmyatirim.com.tr/arastirma-analiz/borsa-model-portfo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2025-03-03T05:18:00Z</dcterms:created>
  <dcterms:modified xsi:type="dcterms:W3CDTF">2025-03-03T05:19:00Z</dcterms:modified>
</cp:coreProperties>
</file>