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D851" w14:textId="77777777" w:rsidR="003560C3" w:rsidRPr="003560C3" w:rsidRDefault="003560C3" w:rsidP="003560C3">
      <w:pPr>
        <w:spacing w:after="75" w:line="36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1D567D"/>
          <w:spacing w:val="-1"/>
          <w:kern w:val="36"/>
          <w:sz w:val="33"/>
          <w:szCs w:val="33"/>
          <w:lang w:eastAsia="tr-TR"/>
        </w:rPr>
      </w:pPr>
      <w:r w:rsidRPr="003560C3">
        <w:rPr>
          <w:rFonts w:ascii="inherit" w:eastAsia="Times New Roman" w:hAnsi="inherit" w:cs="Arial"/>
          <w:b/>
          <w:bCs/>
          <w:color w:val="1D567D"/>
          <w:spacing w:val="-1"/>
          <w:kern w:val="36"/>
          <w:sz w:val="33"/>
          <w:szCs w:val="33"/>
          <w:lang w:eastAsia="tr-TR"/>
        </w:rPr>
        <w:t>Ülker (ULKER) 2024 4. Çeyrek Bilanço Analizi</w:t>
      </w:r>
    </w:p>
    <w:p w14:paraId="470D478F" w14:textId="2393F759" w:rsidR="003560C3" w:rsidRPr="003560C3" w:rsidRDefault="003560C3" w:rsidP="003560C3">
      <w:pPr>
        <w:spacing w:line="330" w:lineRule="atLeast"/>
        <w:textAlignment w:val="baseline"/>
        <w:rPr>
          <w:rFonts w:ascii="inherit" w:eastAsia="Times New Roman" w:hAnsi="inherit" w:cs="Arial"/>
          <w:color w:val="5F676F"/>
          <w:spacing w:val="-1"/>
          <w:sz w:val="24"/>
          <w:szCs w:val="24"/>
          <w:lang w:eastAsia="tr-TR"/>
        </w:rPr>
      </w:pPr>
      <w:r w:rsidRPr="003560C3">
        <w:rPr>
          <w:rFonts w:ascii="inherit" w:eastAsia="Times New Roman" w:hAnsi="inherit" w:cs="Arial"/>
          <w:color w:val="5F676F"/>
          <w:spacing w:val="-1"/>
          <w:sz w:val="24"/>
          <w:szCs w:val="24"/>
          <w:bdr w:val="none" w:sz="0" w:space="0" w:color="auto" w:frame="1"/>
          <w:lang w:eastAsia="tr-TR"/>
        </w:rPr>
        <w:t>11 Mart 2025</w:t>
      </w:r>
      <w:r w:rsidR="001F0141">
        <w:t xml:space="preserve"> </w:t>
      </w:r>
      <w:r w:rsidRPr="003560C3">
        <w:rPr>
          <w:rFonts w:ascii="inherit" w:eastAsia="Times New Roman" w:hAnsi="inherit" w:cs="Arial"/>
          <w:color w:val="5F676F"/>
          <w:spacing w:val="-1"/>
          <w:sz w:val="24"/>
          <w:szCs w:val="24"/>
          <w:bdr w:val="none" w:sz="0" w:space="0" w:color="auto" w:frame="1"/>
          <w:lang w:eastAsia="tr-TR"/>
        </w:rPr>
        <w:t xml:space="preserve">Araştırma &amp; </w:t>
      </w:r>
      <w:proofErr w:type="spellStart"/>
      <w:r w:rsidRPr="003560C3">
        <w:rPr>
          <w:rFonts w:ascii="inherit" w:eastAsia="Times New Roman" w:hAnsi="inherit" w:cs="Arial"/>
          <w:color w:val="5F676F"/>
          <w:spacing w:val="-1"/>
          <w:sz w:val="24"/>
          <w:szCs w:val="24"/>
          <w:bdr w:val="none" w:sz="0" w:space="0" w:color="auto" w:frame="1"/>
          <w:lang w:eastAsia="tr-TR"/>
        </w:rPr>
        <w:t>AnalizBorsa</w:t>
      </w:r>
      <w:proofErr w:type="spellEnd"/>
    </w:p>
    <w:p w14:paraId="637F1243" w14:textId="6A13C76B" w:rsidR="003560C3" w:rsidRPr="003560C3" w:rsidRDefault="001F0141" w:rsidP="001F0141">
      <w:pPr>
        <w:spacing w:after="0" w:line="300" w:lineRule="atLeast"/>
        <w:ind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>
        <w:t xml:space="preserve"> ULKER </w:t>
      </w:r>
      <w:r w:rsidR="003560C3"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4Ç24'de beklentilerin çok üzerinde 2,722mn TL net kâr açıkladı. Analist beklentileri 1,222 milyon TL seviyesindeydi. Net kâr çeyreklik 444.47% </w:t>
      </w:r>
      <w:proofErr w:type="gramStart"/>
      <w:r w:rsidR="003560C3"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artarken,  geçen</w:t>
      </w:r>
      <w:proofErr w:type="gramEnd"/>
      <w:r w:rsidR="003560C3"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yıl aynı döneme göre yıllık 59.92% yükseliş gösterdi. Net kâr marjı 4Ç24'de 11.49% olurken, önceki çeyrekte 2.59% ve geçen yıl aynı çeyrekte 7.72% olmuştu. Satış gelirlerindeki reel artışın yanında, brüt </w:t>
      </w:r>
      <w:proofErr w:type="gramStart"/>
      <w:r w:rsidR="003560C3"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kar</w:t>
      </w:r>
      <w:proofErr w:type="gramEnd"/>
      <w:r w:rsidR="003560C3"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marjındaki 2 puana yakın iyileşme ve net finansal giderlerin hem yıllık hem çeyreklik %50’ye yakın gerilemesi, net kardaki yükselişte etkili oldu.</w:t>
      </w:r>
    </w:p>
    <w:p w14:paraId="1CEC81F6" w14:textId="77777777" w:rsidR="003560C3" w:rsidRPr="003560C3" w:rsidRDefault="003560C3" w:rsidP="003560C3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Satış gelirleri 4Ç24'de beklentilerin üzerinde 22445mn TL seviyesinde gerçekleşti.  Satışlar önceki çeyreğe göre 16.07% artarken, geçen yıl aynı döneme göre yıllık 7.16</w:t>
      </w:r>
      <w:proofErr w:type="gram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%  büyüdü</w:t>
      </w:r>
      <w:proofErr w:type="gram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. Brüt kâr marjı 4Ç24'de 29.30% oldu. Önceki çeyrekte 27.10% ve geçen yıl aynı dönem 27.69% olmuştu. 2024 yılında Bisküvi kategorisi yatay seyrederken, Çikolata kategorisinde hızlı artış görüldü.</w:t>
      </w:r>
    </w:p>
    <w:p w14:paraId="38428A3E" w14:textId="77777777" w:rsidR="003560C3" w:rsidRPr="003560C3" w:rsidRDefault="003560C3" w:rsidP="003560C3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Favök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aynı dönemde beklentilerin üzerinde 4,043mn TL olurken, yıllık bazda 11.89% artış gösterdi. Çeyreklik 31.08% büyüdü.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Favök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marjı aynı dönemde 18.11% seviyesinde oluştu. Önceki çeyrekte 15.95</w:t>
      </w:r>
      <w:proofErr w:type="gram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% ,</w:t>
      </w:r>
      <w:proofErr w:type="gram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geçen yıl aynı dönemde 17.59% olmuştu.</w:t>
      </w:r>
    </w:p>
    <w:p w14:paraId="6BBE3820" w14:textId="77777777" w:rsidR="003560C3" w:rsidRPr="003560C3" w:rsidRDefault="003560C3" w:rsidP="003560C3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Şirket'in 4Ç24'deki ihracat oranı 19.23% seviyesinde oldu. Geçen yıl aynı dönemde 16.62% seviyesinde gerçekleşmişti.</w:t>
      </w:r>
    </w:p>
    <w:p w14:paraId="7B7C0807" w14:textId="77777777" w:rsidR="003560C3" w:rsidRPr="003560C3" w:rsidRDefault="003560C3" w:rsidP="003560C3">
      <w:pPr>
        <w:spacing w:after="0" w:line="360" w:lineRule="atLeast"/>
        <w:ind w:left="150" w:right="150"/>
        <w:textAlignment w:val="baseline"/>
        <w:outlineLvl w:val="1"/>
        <w:rPr>
          <w:rFonts w:ascii="inherit" w:eastAsia="Times New Roman" w:hAnsi="inherit" w:cs="Arial"/>
          <w:b/>
          <w:bCs/>
          <w:color w:val="0A4975"/>
          <w:spacing w:val="-1"/>
          <w:sz w:val="27"/>
          <w:szCs w:val="27"/>
          <w:lang w:eastAsia="tr-TR"/>
        </w:rPr>
      </w:pPr>
      <w:r w:rsidRPr="003560C3">
        <w:rPr>
          <w:rFonts w:ascii="inherit" w:eastAsia="Times New Roman" w:hAnsi="inherit" w:cs="Arial"/>
          <w:b/>
          <w:bCs/>
          <w:color w:val="0A4975"/>
          <w:spacing w:val="-1"/>
          <w:sz w:val="27"/>
          <w:szCs w:val="27"/>
          <w:bdr w:val="none" w:sz="0" w:space="0" w:color="auto" w:frame="1"/>
          <w:lang w:eastAsia="tr-TR"/>
        </w:rPr>
        <w:t>12 Aylık Sonuçlar</w:t>
      </w:r>
    </w:p>
    <w:p w14:paraId="604CDDAA" w14:textId="77777777" w:rsidR="003560C3" w:rsidRPr="003560C3" w:rsidRDefault="003560C3" w:rsidP="003560C3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2024 yılında Şirket 7,401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TL net kâr açıkladı. Net kâr geçen yıl aynı döneme göre 51.70</w:t>
      </w:r>
      <w:proofErr w:type="gram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%  büyüdü</w:t>
      </w:r>
      <w:proofErr w:type="gram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.  Bu dönemde şirket 84,098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TL satış geliri elde ederken satış gelirleri </w:t>
      </w:r>
      <w:proofErr w:type="gram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yıllık</w:t>
      </w:r>
      <w:proofErr w:type="gram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4.32% artış gösterdi. FAVÖK 15,596 milyon TL oldu ve yıllık bazda 1.90% arttı. 2024 yılı Ülker için reel büyüme yılı olurken, kar marjları korundu.</w:t>
      </w:r>
    </w:p>
    <w:p w14:paraId="7FE0BCF6" w14:textId="77777777" w:rsidR="003560C3" w:rsidRPr="003560C3" w:rsidRDefault="003560C3" w:rsidP="003560C3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Yılın 12 ayında şirket 29.81% brüt kâr marjı ile çalıştı. Geçen yıl aynı dönemde 28.97% olmuştu.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Favök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marjı 18.54% seviyesinde olurken, geçen yıl 18.99% olmuştu. Net kâr marjı 8.80% oldu. Geçen yıl aynı dönemde 6.05% olmuştu.</w:t>
      </w:r>
    </w:p>
    <w:p w14:paraId="6BBE3362" w14:textId="77777777" w:rsidR="003560C3" w:rsidRPr="003560C3" w:rsidRDefault="003560C3" w:rsidP="003560C3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Aktif kârlılığı 7.94% olurken, geçen yıl aynı dönemde 6.29% olmuştu. Sektör ortalaması 5.11% seviyesinde bulunuyor.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Özsermaye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kârlılığı 25.86% olurken, geçen yıl aynı dönemde 25.69% olmuştu. Sektör ortalaması 13.11% seviyesinde bulunuyor. İhracat oranı 17.00% seviyesinde gerçekleşti. 2023 yılının tamamında ihracat oranı 14.77% olmuştu.</w:t>
      </w:r>
    </w:p>
    <w:p w14:paraId="7AC626EA" w14:textId="77777777" w:rsidR="003560C3" w:rsidRPr="003560C3" w:rsidRDefault="003560C3" w:rsidP="003560C3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 2024 yılı sonunda şirketin 21,696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TL net borcu bulunuyor. 2023 yılının sonunda şirketin 27,290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TL borcu bulunuyordu. Net borç / FAVÖK oranı 1.39x seviyesinde bulunuyor. Cari oran 2.29x ve likidite oranı ise 1.84x seviyelerinde. Sektör ortalaması cari oran için 2.12x ve likidite oranı için 1.38x seviyesinde bulunuyor.</w:t>
      </w:r>
    </w:p>
    <w:p w14:paraId="1ECFEA01" w14:textId="77777777" w:rsidR="003560C3" w:rsidRPr="003560C3" w:rsidRDefault="003560C3" w:rsidP="003560C3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Şirketin borç kaynak oranı 65.64% seviyesinde. Geçen yıl aynı dönemde 67.85% seviyesindeydi. Sektör ortalaması borç kaynak oranı için 47.30% seviyesinde bulunuyor.</w:t>
      </w:r>
    </w:p>
    <w:p w14:paraId="2950D9BE" w14:textId="77777777" w:rsidR="003560C3" w:rsidRPr="003560C3" w:rsidRDefault="003560C3" w:rsidP="003560C3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Şirketin nakit değerleri 2023 yılsonuna göre </w:t>
      </w:r>
      <w:proofErr w:type="gram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9,477.6</w:t>
      </w:r>
      <w:proofErr w:type="gram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milyon TL artarak 26,308.1 milyon TL oldu. İşletme faaliyetlerinden </w:t>
      </w:r>
      <w:proofErr w:type="gram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5788.1</w:t>
      </w:r>
      <w:proofErr w:type="gram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milyon TL nakit girişi sağlandı. Yatırım faaliyetlerinden </w:t>
      </w:r>
      <w:proofErr w:type="gram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343.2</w:t>
      </w:r>
      <w:proofErr w:type="gram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milyon TL nakit girişi olurken, finansman faaliyetlerinden 5,877.3 </w:t>
      </w:r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lastRenderedPageBreak/>
        <w:t>milyon TL nakit girişi sağlandı. 2024 yılında ULKER 6.131 milyon TL serbest nakit akışı elde etti.</w:t>
      </w:r>
    </w:p>
    <w:p w14:paraId="1DBE1C67" w14:textId="77777777" w:rsidR="003560C3" w:rsidRPr="003560C3" w:rsidRDefault="003560C3" w:rsidP="003560C3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Finansman giderlerinin net satışlara oranı 15.30% olurken, geçen yıl aynı dönemde 32.05% olmuştu.</w:t>
      </w:r>
    </w:p>
    <w:p w14:paraId="21544EBF" w14:textId="77777777" w:rsidR="003560C3" w:rsidRPr="003560C3" w:rsidRDefault="003560C3" w:rsidP="003560C3">
      <w:pPr>
        <w:spacing w:after="0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Şirket son kapanışa göre 67,117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TL firma değerinde bulunuyor. Son duruma göre 6.14x F/K (sektör 36.31x), 4.30x FD/FAVÖK (sektör 36.52x) ve 1.45x PD/DD (sektör2.62x) piyasa çarpanlarıyla işlem görüyor. Finansman giderlerindeki azalma, net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borçdaki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düşüş, reel büyüme ve kar marjlarının korunmasını pozitif karşılıyoruz. Beklentilerin üzerindeki kar ve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Favök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verileri hisse üzerinde kısa vadede pozitif etki yaratması beklenebilir.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Ulker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için 2025 yılında %35 büyüme ile </w:t>
      </w:r>
      <w:proofErr w:type="gram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113.5</w:t>
      </w:r>
      <w:proofErr w:type="gram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milyar TL satış geliri bekliyoruz. </w:t>
      </w:r>
      <w:proofErr w:type="spell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Favök</w:t>
      </w:r>
      <w:proofErr w:type="spell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marjının </w:t>
      </w:r>
      <w:proofErr w:type="gramStart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%18.6</w:t>
      </w:r>
      <w:proofErr w:type="gramEnd"/>
      <w:r w:rsidRPr="003560C3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olmasını ve FAVÖK rakamının 21.1 milyar TL ye ulaşmasını bekliyoruz. </w:t>
      </w:r>
      <w:r w:rsidRPr="003560C3">
        <w:rPr>
          <w:rFonts w:ascii="inherit" w:eastAsia="Times New Roman" w:hAnsi="inherit" w:cs="Arial"/>
          <w:b/>
          <w:bCs/>
          <w:color w:val="000000"/>
          <w:spacing w:val="-1"/>
          <w:sz w:val="24"/>
          <w:szCs w:val="24"/>
          <w:bdr w:val="none" w:sz="0" w:space="0" w:color="auto" w:frame="1"/>
          <w:lang w:eastAsia="tr-TR"/>
        </w:rPr>
        <w:t xml:space="preserve">İNO modelimize göre ULKER için </w:t>
      </w:r>
      <w:proofErr w:type="gramStart"/>
      <w:r w:rsidRPr="003560C3">
        <w:rPr>
          <w:rFonts w:ascii="inherit" w:eastAsia="Times New Roman" w:hAnsi="inherit" w:cs="Arial"/>
          <w:b/>
          <w:bCs/>
          <w:color w:val="000000"/>
          <w:spacing w:val="-1"/>
          <w:sz w:val="24"/>
          <w:szCs w:val="24"/>
          <w:bdr w:val="none" w:sz="0" w:space="0" w:color="auto" w:frame="1"/>
          <w:lang w:eastAsia="tr-TR"/>
        </w:rPr>
        <w:t>193.32</w:t>
      </w:r>
      <w:proofErr w:type="gramEnd"/>
      <w:r w:rsidRPr="003560C3">
        <w:rPr>
          <w:rFonts w:ascii="inherit" w:eastAsia="Times New Roman" w:hAnsi="inherit" w:cs="Arial"/>
          <w:b/>
          <w:bCs/>
          <w:color w:val="000000"/>
          <w:spacing w:val="-1"/>
          <w:sz w:val="24"/>
          <w:szCs w:val="24"/>
          <w:bdr w:val="none" w:sz="0" w:space="0" w:color="auto" w:frame="1"/>
          <w:lang w:eastAsia="tr-TR"/>
        </w:rPr>
        <w:t xml:space="preserve"> TL hedef fiyata ulaşıyoruz. Son borsa kapanışına göre %57 yükseliş potansiyeline karşılık geliyor.</w:t>
      </w:r>
    </w:p>
    <w:p w14:paraId="3A5DB91F" w14:textId="77777777" w:rsidR="00376999" w:rsidRDefault="00376999"/>
    <w:sectPr w:rsidR="0037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C3"/>
    <w:rsid w:val="001F0141"/>
    <w:rsid w:val="003560C3"/>
    <w:rsid w:val="003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0DAC"/>
  <w15:chartTrackingRefBased/>
  <w15:docId w15:val="{C8EAAA63-359C-4A9A-8F25-8790F6CB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5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356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60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560C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560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56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730">
          <w:marLeft w:val="0"/>
          <w:marRight w:val="0"/>
          <w:marTop w:val="0"/>
          <w:marBottom w:val="300"/>
          <w:divBdr>
            <w:top w:val="single" w:sz="6" w:space="19" w:color="E4E9F2"/>
            <w:left w:val="none" w:sz="0" w:space="26" w:color="auto"/>
            <w:bottom w:val="single" w:sz="6" w:space="19" w:color="E4E9F2"/>
            <w:right w:val="none" w:sz="0" w:space="26" w:color="auto"/>
          </w:divBdr>
          <w:divsChild>
            <w:div w:id="19752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9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Ömer Faruk Öztürk</cp:lastModifiedBy>
  <cp:revision>3</cp:revision>
  <dcterms:created xsi:type="dcterms:W3CDTF">2025-03-11T05:21:00Z</dcterms:created>
  <dcterms:modified xsi:type="dcterms:W3CDTF">2025-03-11T06:39:00Z</dcterms:modified>
</cp:coreProperties>
</file>