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65" w:rsidRDefault="00CE3C65" w:rsidP="00CE3C65">
      <w:pPr>
        <w:spacing w:after="120"/>
        <w:rPr>
          <w:b/>
          <w:bCs/>
          <w:color w:val="003366"/>
          <w:sz w:val="44"/>
          <w:szCs w:val="44"/>
          <w:lang w:val="en-US" w:eastAsia="tr-TR"/>
        </w:rPr>
      </w:pPr>
      <w:proofErr w:type="spellStart"/>
      <w:r>
        <w:rPr>
          <w:b/>
          <w:bCs/>
          <w:color w:val="003366"/>
          <w:sz w:val="44"/>
          <w:szCs w:val="44"/>
          <w:lang w:val="en-US" w:eastAsia="tr-TR"/>
        </w:rPr>
        <w:t>Vestel</w:t>
      </w:r>
      <w:proofErr w:type="spellEnd"/>
      <w:r>
        <w:rPr>
          <w:b/>
          <w:bCs/>
          <w:color w:val="003366"/>
          <w:sz w:val="44"/>
          <w:szCs w:val="44"/>
          <w:lang w:val="en-US" w:eastAsia="tr-TR"/>
        </w:rPr>
        <w:t xml:space="preserve"> </w:t>
      </w:r>
      <w:proofErr w:type="spellStart"/>
      <w:r>
        <w:rPr>
          <w:b/>
          <w:bCs/>
          <w:color w:val="003366"/>
          <w:sz w:val="44"/>
          <w:szCs w:val="44"/>
          <w:lang w:val="en-US" w:eastAsia="tr-TR"/>
        </w:rPr>
        <w:t>Elektronik</w:t>
      </w:r>
      <w:proofErr w:type="spellEnd"/>
      <w:r>
        <w:rPr>
          <w:b/>
          <w:bCs/>
          <w:color w:val="003366"/>
          <w:sz w:val="44"/>
          <w:szCs w:val="44"/>
          <w:lang w:val="en-US" w:eastAsia="tr-TR"/>
        </w:rPr>
        <w:t xml:space="preserve"> (VESTL TI)</w:t>
      </w:r>
    </w:p>
    <w:p w:rsidR="00CE3C65" w:rsidRDefault="00CE3C65" w:rsidP="00CE3C65">
      <w:pPr>
        <w:spacing w:after="120"/>
        <w:rPr>
          <w:b/>
          <w:bCs/>
          <w:color w:val="003366"/>
          <w:sz w:val="32"/>
          <w:szCs w:val="32"/>
          <w:lang w:val="en-US" w:eastAsia="tr-TR"/>
        </w:rPr>
      </w:pP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Bilanço</w:t>
      </w:r>
      <w:proofErr w:type="spellEnd"/>
      <w:r>
        <w:rPr>
          <w:b/>
          <w:bCs/>
          <w:color w:val="003366"/>
          <w:sz w:val="32"/>
          <w:szCs w:val="32"/>
          <w:lang w:val="en-US" w:eastAsia="tr-TR"/>
        </w:rPr>
        <w:t xml:space="preserve"> </w:t>
      </w: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değerlendirmesi</w:t>
      </w:r>
      <w:proofErr w:type="spellEnd"/>
      <w:r>
        <w:rPr>
          <w:b/>
          <w:bCs/>
          <w:color w:val="003366"/>
          <w:sz w:val="32"/>
          <w:szCs w:val="32"/>
          <w:lang w:val="en-US" w:eastAsia="tr-TR"/>
        </w:rPr>
        <w:t xml:space="preserve"> / </w:t>
      </w: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olumsuz</w:t>
      </w:r>
      <w:proofErr w:type="spellEnd"/>
    </w:p>
    <w:p w:rsidR="00CE3C65" w:rsidRDefault="00CE3C65" w:rsidP="00CE3C65">
      <w:pPr>
        <w:spacing w:line="280" w:lineRule="exact"/>
        <w:jc w:val="center"/>
        <w:rPr>
          <w:rFonts w:ascii="FreeSetC" w:eastAsia="Times New Roman" w:hAnsi="FreeSetC"/>
          <w:sz w:val="19"/>
          <w:szCs w:val="19"/>
          <w:lang w:eastAsia="tr-TR"/>
        </w:rPr>
      </w:pPr>
      <w:r>
        <w:rPr>
          <w:rFonts w:ascii="FreeSetC" w:eastAsia="Times New Roman" w:hAnsi="FreeSetC"/>
          <w:sz w:val="19"/>
          <w:szCs w:val="19"/>
          <w:lang w:eastAsia="tr-TR"/>
        </w:rPr>
        <w:pict>
          <v:rect id="_x0000_i1025" style="width:453.6pt;height:.75pt" o:hralign="center" o:hrstd="t" o:hrnoshade="t" o:hr="t" fillcolor="#036" stroked="f"/>
        </w:pict>
      </w:r>
    </w:p>
    <w:p w:rsidR="00CE3C65" w:rsidRDefault="00CE3C65" w:rsidP="00CE3C65">
      <w:pPr>
        <w:pStyle w:val="FPIntroduction"/>
        <w:spacing w:before="60"/>
        <w:rPr>
          <w:sz w:val="22"/>
          <w:szCs w:val="22"/>
        </w:rPr>
      </w:pPr>
      <w:r>
        <w:rPr>
          <w:sz w:val="22"/>
          <w:szCs w:val="22"/>
        </w:rPr>
        <w:t>Vestel, 4Ç24'te 37.367 milyon TL gelir, -1.084 milyon TL FAVÖK ve 6.440 milyon TL net zarar açıkladı. Enflasyon muhasebesi nedeniyle parasal kazanç/kayıp kalemi altında 181 milyon TL’lik olumlu etki oluştu.</w:t>
      </w:r>
    </w:p>
    <w:p w:rsidR="00CE3C65" w:rsidRDefault="00CE3C65" w:rsidP="00CE3C65">
      <w:pPr>
        <w:pStyle w:val="FPIntroduction"/>
        <w:spacing w:before="60"/>
        <w:rPr>
          <w:sz w:val="22"/>
          <w:szCs w:val="22"/>
        </w:rPr>
      </w:pPr>
    </w:p>
    <w:p w:rsidR="00CE3C65" w:rsidRDefault="00CE3C65" w:rsidP="00CE3C65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 xml:space="preserve">Vestel, 4Ç24'te yıllık </w:t>
      </w:r>
      <w:proofErr w:type="gramStart"/>
      <w:r>
        <w:rPr>
          <w:rFonts w:eastAsia="Times New Roman"/>
          <w:lang w:eastAsia="tr-TR"/>
        </w:rPr>
        <w:t>bazda</w:t>
      </w:r>
      <w:proofErr w:type="gramEnd"/>
      <w:r>
        <w:rPr>
          <w:rFonts w:eastAsia="Times New Roman"/>
          <w:lang w:eastAsia="tr-TR"/>
        </w:rPr>
        <w:t xml:space="preserve"> %12 azalışla 37.367 milyon TL satış geliri kaydetti.</w:t>
      </w:r>
    </w:p>
    <w:p w:rsidR="00CE3C65" w:rsidRDefault="00CE3C65" w:rsidP="00CE3C65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 xml:space="preserve">Şirket'in brüt karı bu dönemde 4.791 milyon TL seviyesinde gerçekleşirken, geçen yılın aynı dönemine göre %57 azalış gösterdi. Brüt kar </w:t>
      </w:r>
      <w:proofErr w:type="gramStart"/>
      <w:r>
        <w:rPr>
          <w:rFonts w:eastAsia="Times New Roman"/>
          <w:lang w:eastAsia="tr-TR"/>
        </w:rPr>
        <w:t>marjı</w:t>
      </w:r>
      <w:proofErr w:type="gramEnd"/>
      <w:r>
        <w:rPr>
          <w:rFonts w:eastAsia="Times New Roman"/>
          <w:lang w:eastAsia="tr-TR"/>
        </w:rPr>
        <w:t xml:space="preserve"> ise 13.2 puan azalışla %12.8 oldu.</w:t>
      </w:r>
    </w:p>
    <w:p w:rsidR="00CE3C65" w:rsidRDefault="00CE3C65" w:rsidP="00CE3C65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 xml:space="preserve">FAVÖK 4Ç24'te -1.084 milyon TL (4Ç23: 5.806 milyon TL) seviyesinde gerçekleşirken, FAVÖK </w:t>
      </w:r>
      <w:proofErr w:type="gramStart"/>
      <w:r>
        <w:rPr>
          <w:rFonts w:eastAsia="Times New Roman"/>
          <w:lang w:eastAsia="tr-TR"/>
        </w:rPr>
        <w:t>marjı</w:t>
      </w:r>
      <w:proofErr w:type="gramEnd"/>
      <w:r>
        <w:rPr>
          <w:rFonts w:eastAsia="Times New Roman"/>
          <w:lang w:eastAsia="tr-TR"/>
        </w:rPr>
        <w:t xml:space="preserve"> %-2.9 oldu.</w:t>
      </w:r>
    </w:p>
    <w:p w:rsidR="00CE3C65" w:rsidRDefault="00CE3C65" w:rsidP="00CE3C65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u w:val="single"/>
          <w:lang w:eastAsia="tr-TR"/>
        </w:rPr>
      </w:pPr>
      <w:r>
        <w:rPr>
          <w:rFonts w:eastAsia="Times New Roman"/>
          <w:lang w:eastAsia="tr-TR"/>
        </w:rPr>
        <w:t xml:space="preserve">Şirket, 4Ç24 döneminde 6.440 milyon TL net zarar açıkladı (3Ç24: 3.197 milyon TL net zarar, 4Ç23: 3.840 milyon TL net kar). </w:t>
      </w:r>
      <w:r>
        <w:rPr>
          <w:rFonts w:eastAsia="Times New Roman"/>
          <w:u w:val="single"/>
          <w:lang w:eastAsia="tr-TR"/>
        </w:rPr>
        <w:t xml:space="preserve">Zayıflayan karlılık ve artan net diğer giderler net zararın </w:t>
      </w:r>
      <w:proofErr w:type="spellStart"/>
      <w:r>
        <w:rPr>
          <w:rFonts w:eastAsia="Times New Roman"/>
          <w:u w:val="single"/>
          <w:lang w:eastAsia="tr-TR"/>
        </w:rPr>
        <w:t>çeyreksel</w:t>
      </w:r>
      <w:proofErr w:type="spellEnd"/>
      <w:r>
        <w:rPr>
          <w:rFonts w:eastAsia="Times New Roman"/>
          <w:u w:val="single"/>
          <w:lang w:eastAsia="tr-TR"/>
        </w:rPr>
        <w:t xml:space="preserve"> </w:t>
      </w:r>
      <w:proofErr w:type="gramStart"/>
      <w:r>
        <w:rPr>
          <w:rFonts w:eastAsia="Times New Roman"/>
          <w:u w:val="single"/>
          <w:lang w:eastAsia="tr-TR"/>
        </w:rPr>
        <w:t>bazda</w:t>
      </w:r>
      <w:proofErr w:type="gramEnd"/>
      <w:r>
        <w:rPr>
          <w:rFonts w:eastAsia="Times New Roman"/>
          <w:u w:val="single"/>
          <w:lang w:eastAsia="tr-TR"/>
        </w:rPr>
        <w:t xml:space="preserve"> artmasında etkili oldu.</w:t>
      </w:r>
    </w:p>
    <w:p w:rsidR="00CE3C65" w:rsidRDefault="00CE3C65" w:rsidP="00CE3C65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 xml:space="preserve">Şirket, 4Ç24'te 3.595 milyon TL net diğer gider (4Ç23: 5.762 milyon TL net diğer gider), 2.462 milyon TL net finansman gideri (4Ç23: 719 milyon TL net finansman geliri) ve 1.340 milyon TL vergi geliri (4Ç23: 2.638 milyon TL vergi geliri) kaydetti.  </w:t>
      </w:r>
    </w:p>
    <w:p w:rsidR="00CE3C65" w:rsidRDefault="00CE3C65" w:rsidP="00CE3C65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>Enflasyon muhasebesi nedeniyle parasal kazanç/kayıp kalemi altında 181 milyon TL’lik olumlu etki oluştu.</w:t>
      </w:r>
    </w:p>
    <w:p w:rsidR="00CE3C65" w:rsidRDefault="00CE3C65" w:rsidP="00CE3C65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proofErr w:type="gramStart"/>
      <w:r>
        <w:rPr>
          <w:rFonts w:eastAsia="Times New Roman"/>
          <w:lang w:eastAsia="tr-TR"/>
        </w:rPr>
        <w:t>Yıl sonu</w:t>
      </w:r>
      <w:proofErr w:type="gramEnd"/>
      <w:r>
        <w:rPr>
          <w:rFonts w:eastAsia="Times New Roman"/>
          <w:lang w:eastAsia="tr-TR"/>
        </w:rPr>
        <w:t xml:space="preserve"> itibariyle Şirket’in 59.976 milyon TL net borç pozisyonu bulunmaktadır (Eylül 2024: 55.616 milyon TL net borç pozisyonu). Aynı dönemde net borç/FAVÖK </w:t>
      </w:r>
      <w:proofErr w:type="spellStart"/>
      <w:r>
        <w:rPr>
          <w:rFonts w:eastAsia="Times New Roman"/>
          <w:lang w:eastAsia="tr-TR"/>
        </w:rPr>
        <w:t>rasyosu</w:t>
      </w:r>
      <w:proofErr w:type="spellEnd"/>
      <w:r>
        <w:rPr>
          <w:rFonts w:eastAsia="Times New Roman"/>
          <w:lang w:eastAsia="tr-TR"/>
        </w:rPr>
        <w:t xml:space="preserve"> ise 7.0x oldu (Eylül 2024: 3.6x net borç/FAVÖK).</w:t>
      </w:r>
    </w:p>
    <w:p w:rsidR="00CE3C65" w:rsidRDefault="00CE3C65" w:rsidP="00CE3C65">
      <w:pPr>
        <w:rPr>
          <w:color w:val="000000"/>
          <w:lang w:eastAsia="tr-TR"/>
        </w:rPr>
      </w:pPr>
    </w:p>
    <w:p w:rsidR="00CE3C65" w:rsidRDefault="00CE3C65" w:rsidP="00CE3C65">
      <w:pPr>
        <w:jc w:val="both"/>
        <w:rPr>
          <w:b/>
          <w:bCs/>
          <w:color w:val="000000"/>
          <w:lang w:eastAsia="tr-TR"/>
        </w:rPr>
      </w:pPr>
      <w:r>
        <w:rPr>
          <w:b/>
          <w:bCs/>
          <w:u w:val="single"/>
          <w:lang w:eastAsia="tr-TR"/>
        </w:rPr>
        <w:t>Genel değerlendirme</w:t>
      </w:r>
      <w:r>
        <w:t xml:space="preserve"> </w:t>
      </w:r>
      <w:r>
        <w:rPr>
          <w:b/>
          <w:bCs/>
        </w:rPr>
        <w:t>Zayıf rakamlar dolayısıyla açıklanan finansal sonuçların hisse performansı üzerinde olumsuz etki yaratacağını düşünüyoruz.</w:t>
      </w:r>
      <w:r>
        <w:t xml:space="preserve"> </w:t>
      </w:r>
      <w:r>
        <w:rPr>
          <w:lang w:eastAsia="tr-TR"/>
        </w:rPr>
        <w:t xml:space="preserve">Finansalların ardından net borç pozisyonundaki artışı modelimize yansıtmamız neticesinde </w:t>
      </w:r>
      <w:r>
        <w:rPr>
          <w:b/>
          <w:bCs/>
          <w:lang w:eastAsia="tr-TR"/>
        </w:rPr>
        <w:t>Vestel Elektronik için 12-aylık hedef fiyatımızı 87,00 TL’den 80,00 TL’ye indiriyor, önerimizi TUT olarak sürdürüyoruz.</w:t>
      </w:r>
      <w:r>
        <w:rPr>
          <w:lang w:eastAsia="tr-TR"/>
        </w:rPr>
        <w:t xml:space="preserve"> </w:t>
      </w:r>
      <w:r>
        <w:rPr>
          <w:b/>
          <w:bCs/>
          <w:lang w:eastAsia="tr-TR"/>
        </w:rPr>
        <w:t xml:space="preserve">Hisse, </w:t>
      </w:r>
      <w:proofErr w:type="gramStart"/>
      <w:r>
        <w:rPr>
          <w:b/>
          <w:bCs/>
          <w:lang w:eastAsia="tr-TR"/>
        </w:rPr>
        <w:t>yıl başından</w:t>
      </w:r>
      <w:proofErr w:type="gramEnd"/>
      <w:r>
        <w:rPr>
          <w:b/>
          <w:bCs/>
          <w:lang w:eastAsia="tr-TR"/>
        </w:rPr>
        <w:t xml:space="preserve"> itibaren BIST 100 endeksinin %19.5 altında performans göstermiştir.</w:t>
      </w:r>
      <w:r>
        <w:t xml:space="preserve"> </w:t>
      </w:r>
      <w:r>
        <w:rPr>
          <w:b/>
          <w:bCs/>
          <w:lang w:eastAsia="tr-TR"/>
        </w:rPr>
        <w:t>Geriye dönük 12 aylık verilere göre hisse 9.3x FD/FAVÖK çarpanından işlem görmektedir.</w:t>
      </w:r>
    </w:p>
    <w:p w:rsidR="00CE3C65" w:rsidRDefault="00CE3C65" w:rsidP="00CE3C65">
      <w:pPr>
        <w:rPr>
          <w:color w:val="000000"/>
          <w:lang w:eastAsia="tr-TR"/>
        </w:rPr>
      </w:pPr>
    </w:p>
    <w:p w:rsidR="00CE3C65" w:rsidRDefault="00CE3C65" w:rsidP="00CE3C65">
      <w:r>
        <w:rPr>
          <w:noProof/>
          <w:lang w:eastAsia="tr-TR"/>
        </w:rPr>
        <w:lastRenderedPageBreak/>
        <w:drawing>
          <wp:inline distT="0" distB="0" distL="0" distR="0">
            <wp:extent cx="12249150" cy="4400550"/>
            <wp:effectExtent l="0" t="0" r="0" b="0"/>
            <wp:docPr id="1" name="Resim 1" descr="cid:image002.png@01DB925F.BD447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925F.BD4474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65" w:rsidRDefault="00CE3C65" w:rsidP="00CE3C65">
      <w:pPr>
        <w:spacing w:line="280" w:lineRule="exact"/>
        <w:jc w:val="both"/>
      </w:pPr>
    </w:p>
    <w:p w:rsidR="00CE3C65" w:rsidRDefault="00CE3C65" w:rsidP="00CE3C65">
      <w:pPr>
        <w:spacing w:before="20" w:after="20"/>
        <w:rPr>
          <w:color w:val="000000"/>
          <w:sz w:val="20"/>
          <w:szCs w:val="20"/>
          <w:lang w:eastAsia="tr-TR"/>
        </w:rPr>
      </w:pPr>
      <w:r>
        <w:t> </w:t>
      </w:r>
    </w:p>
    <w:p w:rsidR="00CE3C65" w:rsidRDefault="00CE3C65" w:rsidP="00CE3C65">
      <w:pPr>
        <w:jc w:val="center"/>
        <w:rPr>
          <w:rFonts w:eastAsia="Times New Roman"/>
          <w:color w:val="000000"/>
          <w:sz w:val="20"/>
          <w:szCs w:val="20"/>
          <w:lang w:eastAsia="tr-TR"/>
        </w:rPr>
      </w:pPr>
      <w:r>
        <w:rPr>
          <w:rFonts w:eastAsia="Times New Roman"/>
          <w:color w:val="000000"/>
          <w:sz w:val="20"/>
          <w:szCs w:val="20"/>
          <w:lang w:eastAsia="tr-TR"/>
        </w:rPr>
        <w:pict>
          <v:rect id="_x0000_i1027" style="width:453.6pt;height:.75pt" o:hralign="center" o:hrstd="t" o:hrnoshade="t" o:hr="t" fillcolor="#036" stroked="f"/>
        </w:pict>
      </w:r>
    </w:p>
    <w:p w:rsidR="00376999" w:rsidRDefault="00376999">
      <w:bookmarkStart w:id="0" w:name="_GoBack"/>
      <w:bookmarkEnd w:id="0"/>
    </w:p>
    <w:sectPr w:rsidR="0037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FreeSetC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4425"/>
    <w:multiLevelType w:val="hybridMultilevel"/>
    <w:tmpl w:val="0F9AD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65"/>
    <w:rsid w:val="00376999"/>
    <w:rsid w:val="00C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6879-B108-4DA2-A545-9929826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6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PIntroduction">
    <w:name w:val="FP_Introduction"/>
    <w:basedOn w:val="Normal"/>
    <w:rsid w:val="00CE3C65"/>
    <w:pPr>
      <w:spacing w:before="120" w:line="280" w:lineRule="exact"/>
      <w:jc w:val="both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925F.BD4474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2025-03-11T06:09:00Z</dcterms:created>
  <dcterms:modified xsi:type="dcterms:W3CDTF">2025-03-11T06:10:00Z</dcterms:modified>
</cp:coreProperties>
</file>