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D1" w:rsidRDefault="000478D1" w:rsidP="000478D1">
      <w:pPr>
        <w:rPr>
          <w:b/>
          <w:bCs/>
          <w:caps/>
          <w:color w:val="7F7F7F"/>
          <w:sz w:val="24"/>
          <w:szCs w:val="24"/>
          <w:lang w:val="en-US" w:eastAsia="tr-TR"/>
        </w:rPr>
      </w:pPr>
      <w:bookmarkStart w:id="0" w:name="_GoBack"/>
      <w:bookmarkEnd w:id="0"/>
      <w:r>
        <w:rPr>
          <w:b/>
          <w:bCs/>
          <w:caps/>
          <w:color w:val="003366"/>
          <w:sz w:val="24"/>
          <w:szCs w:val="24"/>
          <w:lang w:val="en-US" w:eastAsia="tr-TR"/>
        </w:rPr>
        <w:t>DENIZ YATIRIM STRATEJİ &amp; ARAŞTIRMA</w:t>
      </w:r>
      <w:r>
        <w:rPr>
          <w:b/>
          <w:bCs/>
          <w:caps/>
          <w:color w:val="7F7F7F"/>
          <w:sz w:val="24"/>
          <w:szCs w:val="24"/>
          <w:lang w:val="en-US" w:eastAsia="tr-TR"/>
        </w:rPr>
        <w:t xml:space="preserve"> </w:t>
      </w:r>
    </w:p>
    <w:p w:rsidR="000478D1" w:rsidRDefault="000478D1" w:rsidP="000478D1">
      <w:pPr>
        <w:jc w:val="center"/>
        <w:rPr>
          <w:rFonts w:ascii="FreeSetC" w:eastAsia="Times New Roman" w:hAnsi="FreeSetC"/>
          <w:b/>
          <w:bCs/>
          <w:color w:val="000067"/>
          <w:sz w:val="44"/>
          <w:szCs w:val="44"/>
          <w:lang w:eastAsia="tr-TR"/>
        </w:rPr>
      </w:pPr>
      <w:r>
        <w:rPr>
          <w:rFonts w:ascii="FreeSetC" w:eastAsia="Times New Roman" w:hAnsi="FreeSetC"/>
          <w:b/>
          <w:bCs/>
          <w:color w:val="000067"/>
          <w:sz w:val="44"/>
          <w:szCs w:val="44"/>
          <w:lang w:eastAsia="tr-TR"/>
        </w:rPr>
        <w:pict>
          <v:rect id="_x0000_i1029" style="width:453.6pt;height:.75pt" o:hralign="center" o:hrstd="t" o:hrnoshade="t" o:hr="t" fillcolor="#036" stroked="f"/>
        </w:pict>
      </w:r>
    </w:p>
    <w:p w:rsidR="000478D1" w:rsidRDefault="000478D1" w:rsidP="000478D1">
      <w:pPr>
        <w:spacing w:after="120"/>
        <w:rPr>
          <w:b/>
          <w:bCs/>
          <w:color w:val="003366"/>
          <w:sz w:val="44"/>
          <w:szCs w:val="44"/>
          <w:lang w:val="en-US" w:eastAsia="tr-TR"/>
        </w:rPr>
      </w:pP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Kontrolmatik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44"/>
          <w:szCs w:val="44"/>
          <w:lang w:val="en-US" w:eastAsia="tr-TR"/>
        </w:rPr>
        <w:t>Teknoloji</w:t>
      </w:r>
      <w:proofErr w:type="spellEnd"/>
      <w:r>
        <w:rPr>
          <w:b/>
          <w:bCs/>
          <w:color w:val="003366"/>
          <w:sz w:val="44"/>
          <w:szCs w:val="44"/>
          <w:lang w:val="en-US" w:eastAsia="tr-TR"/>
        </w:rPr>
        <w:t xml:space="preserve"> (KONTR TI)</w:t>
      </w:r>
    </w:p>
    <w:p w:rsidR="000478D1" w:rsidRDefault="000478D1" w:rsidP="000478D1">
      <w:pPr>
        <w:spacing w:after="120"/>
        <w:rPr>
          <w:b/>
          <w:bCs/>
          <w:color w:val="003366"/>
          <w:sz w:val="32"/>
          <w:szCs w:val="32"/>
          <w:lang w:val="en-US" w:eastAsia="tr-TR"/>
        </w:rPr>
      </w:pP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Bilanço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</w:t>
      </w: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değerlendirmesi</w:t>
      </w:r>
      <w:proofErr w:type="spellEnd"/>
      <w:r>
        <w:rPr>
          <w:b/>
          <w:bCs/>
          <w:color w:val="003366"/>
          <w:sz w:val="32"/>
          <w:szCs w:val="32"/>
          <w:lang w:val="en-US" w:eastAsia="tr-TR"/>
        </w:rPr>
        <w:t xml:space="preserve"> / </w:t>
      </w:r>
      <w:proofErr w:type="spellStart"/>
      <w:r>
        <w:rPr>
          <w:b/>
          <w:bCs/>
          <w:color w:val="003366"/>
          <w:sz w:val="32"/>
          <w:szCs w:val="32"/>
          <w:lang w:val="en-US" w:eastAsia="tr-TR"/>
        </w:rPr>
        <w:t>olumsuz</w:t>
      </w:r>
      <w:proofErr w:type="spellEnd"/>
    </w:p>
    <w:p w:rsidR="000478D1" w:rsidRDefault="000478D1" w:rsidP="000478D1">
      <w:pPr>
        <w:spacing w:line="280" w:lineRule="exact"/>
        <w:jc w:val="center"/>
        <w:rPr>
          <w:rFonts w:ascii="FreeSetC" w:eastAsia="Times New Roman" w:hAnsi="FreeSetC"/>
          <w:sz w:val="19"/>
          <w:szCs w:val="19"/>
          <w:lang w:eastAsia="tr-TR"/>
        </w:rPr>
      </w:pPr>
      <w:r>
        <w:rPr>
          <w:rFonts w:ascii="FreeSetC" w:eastAsia="Times New Roman" w:hAnsi="FreeSetC"/>
          <w:sz w:val="19"/>
          <w:szCs w:val="19"/>
          <w:lang w:eastAsia="tr-TR"/>
        </w:rPr>
        <w:pict>
          <v:rect id="_x0000_i1030" style="width:453.6pt;height:.75pt" o:hralign="center" o:hrstd="t" o:hrnoshade="t" o:hr="t" fillcolor="#036" stroked="f"/>
        </w:pict>
      </w:r>
    </w:p>
    <w:p w:rsidR="000478D1" w:rsidRDefault="000478D1" w:rsidP="000478D1">
      <w:pPr>
        <w:pStyle w:val="FPIntroduction"/>
        <w:spacing w:before="60"/>
        <w:rPr>
          <w:sz w:val="22"/>
          <w:szCs w:val="22"/>
        </w:rPr>
      </w:pPr>
      <w:proofErr w:type="spellStart"/>
      <w:r>
        <w:rPr>
          <w:sz w:val="22"/>
          <w:szCs w:val="22"/>
        </w:rPr>
        <w:t>Kontrolmatik</w:t>
      </w:r>
      <w:proofErr w:type="spellEnd"/>
      <w:r>
        <w:rPr>
          <w:sz w:val="22"/>
          <w:szCs w:val="22"/>
        </w:rPr>
        <w:t xml:space="preserve"> Teknoloji, 4Ç24'te 4.323 milyon TL gelir, 65 milyon TL FAVÖK ve 657 milyon TL net zarar açıkladı. Enflasyon muhasebesi nedeniyle parasal kazanç/kayıp kalemi altında 126 milyon TL’lik olumlu etki oluştu.</w:t>
      </w:r>
    </w:p>
    <w:p w:rsidR="000478D1" w:rsidRDefault="000478D1" w:rsidP="000478D1">
      <w:pPr>
        <w:pStyle w:val="FPIntroduction"/>
        <w:spacing w:before="60"/>
        <w:rPr>
          <w:sz w:val="22"/>
          <w:szCs w:val="22"/>
        </w:rPr>
      </w:pP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proofErr w:type="spellStart"/>
      <w:r>
        <w:rPr>
          <w:rFonts w:eastAsia="Times New Roman"/>
          <w:lang w:eastAsia="tr-TR"/>
        </w:rPr>
        <w:t>Kontrolmatik</w:t>
      </w:r>
      <w:proofErr w:type="spellEnd"/>
      <w:r>
        <w:rPr>
          <w:rFonts w:eastAsia="Times New Roman"/>
          <w:lang w:eastAsia="tr-TR"/>
        </w:rPr>
        <w:t xml:space="preserve"> Teknoloji, 4Ç24'te yıllık </w:t>
      </w:r>
      <w:proofErr w:type="gramStart"/>
      <w:r>
        <w:rPr>
          <w:rFonts w:eastAsia="Times New Roman"/>
          <w:lang w:eastAsia="tr-TR"/>
        </w:rPr>
        <w:t>bazda</w:t>
      </w:r>
      <w:proofErr w:type="gramEnd"/>
      <w:r>
        <w:rPr>
          <w:rFonts w:eastAsia="Times New Roman"/>
          <w:lang w:eastAsia="tr-TR"/>
        </w:rPr>
        <w:t xml:space="preserve"> %88 artışla 4.323 milyon TL satış geliri kaydetti.</w:t>
      </w: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Şirket'in brüt karı bu dönemde 64 milyon TL seviyesinde gerçekleşirken, geçen yılın aynı dönemine göre %82 azalış gösterdi. Brüt kar </w:t>
      </w:r>
      <w:proofErr w:type="gramStart"/>
      <w:r>
        <w:rPr>
          <w:rFonts w:eastAsia="Times New Roman"/>
          <w:lang w:eastAsia="tr-TR"/>
        </w:rPr>
        <w:t>marjı</w:t>
      </w:r>
      <w:proofErr w:type="gramEnd"/>
      <w:r>
        <w:rPr>
          <w:rFonts w:eastAsia="Times New Roman"/>
          <w:lang w:eastAsia="tr-TR"/>
        </w:rPr>
        <w:t xml:space="preserve"> ise 13.9 puan azalışla %1.5 oldu.</w:t>
      </w: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FAVÖK 4Ç24'te yıllık %70 azalışla 65 milyon TL seviyesinde gerçekleşirken, FAVÖK </w:t>
      </w:r>
      <w:proofErr w:type="gramStart"/>
      <w:r>
        <w:rPr>
          <w:rFonts w:eastAsia="Times New Roman"/>
          <w:lang w:eastAsia="tr-TR"/>
        </w:rPr>
        <w:t>marjı</w:t>
      </w:r>
      <w:proofErr w:type="gramEnd"/>
      <w:r>
        <w:rPr>
          <w:rFonts w:eastAsia="Times New Roman"/>
          <w:lang w:eastAsia="tr-TR"/>
        </w:rPr>
        <w:t xml:space="preserve"> 7.8 puan azalışla %1.5 oldu.</w:t>
      </w: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Şirket, 4Ç24 döneminde 657 milyon TL net zarar açıkladı (3Ç24: 68 milyon TL net kar, 4Ç23: 420 milyon TL net zarar). </w:t>
      </w:r>
      <w:r>
        <w:rPr>
          <w:rFonts w:eastAsia="Times New Roman"/>
          <w:u w:val="single"/>
          <w:lang w:eastAsia="tr-TR"/>
        </w:rPr>
        <w:t xml:space="preserve">Zayıflayan karlılık ve artan vergi gideri </w:t>
      </w:r>
      <w:proofErr w:type="spellStart"/>
      <w:r>
        <w:rPr>
          <w:rFonts w:eastAsia="Times New Roman"/>
          <w:u w:val="single"/>
          <w:lang w:eastAsia="tr-TR"/>
        </w:rPr>
        <w:t>çeyreksel</w:t>
      </w:r>
      <w:proofErr w:type="spellEnd"/>
      <w:r>
        <w:rPr>
          <w:rFonts w:eastAsia="Times New Roman"/>
          <w:u w:val="single"/>
          <w:lang w:eastAsia="tr-TR"/>
        </w:rPr>
        <w:t xml:space="preserve"> </w:t>
      </w:r>
      <w:proofErr w:type="gramStart"/>
      <w:r>
        <w:rPr>
          <w:rFonts w:eastAsia="Times New Roman"/>
          <w:u w:val="single"/>
          <w:lang w:eastAsia="tr-TR"/>
        </w:rPr>
        <w:t>bazda</w:t>
      </w:r>
      <w:proofErr w:type="gramEnd"/>
      <w:r>
        <w:rPr>
          <w:rFonts w:eastAsia="Times New Roman"/>
          <w:u w:val="single"/>
          <w:lang w:eastAsia="tr-TR"/>
        </w:rPr>
        <w:t xml:space="preserve"> net zarara geçişte etkili oldu.</w:t>
      </w: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 xml:space="preserve">Şirket, 4Ç24'te 198 milyon TL net diğer gelir (4Ç23: 18 milyon TL net diğer gider), 345 milyon TL net finansman gideri (4Ç23: 593 milyon TL net finansman gideri) ve 378 milyon TL vergi gideri (4Ç23: 39 milyon TL vergi gideri) kaydetti. </w:t>
      </w: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r>
        <w:rPr>
          <w:rFonts w:eastAsia="Times New Roman"/>
          <w:lang w:eastAsia="tr-TR"/>
        </w:rPr>
        <w:t>Enflasyon muhasebesi nedeniyle parasal kazanç/kayıp kalemi altında 126 milyon TL’lik olumlu etki oluştu.</w:t>
      </w: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000000"/>
          <w:lang w:eastAsia="tr-TR"/>
        </w:rPr>
      </w:pPr>
      <w:proofErr w:type="gramStart"/>
      <w:r>
        <w:rPr>
          <w:rFonts w:eastAsia="Times New Roman"/>
          <w:lang w:eastAsia="tr-TR"/>
        </w:rPr>
        <w:t>Yıl sonu</w:t>
      </w:r>
      <w:proofErr w:type="gramEnd"/>
      <w:r>
        <w:rPr>
          <w:rFonts w:eastAsia="Times New Roman"/>
          <w:lang w:eastAsia="tr-TR"/>
        </w:rPr>
        <w:t xml:space="preserve"> itibariyle Şirket’in 6.620 milyon TL net borç pozisyonu bulunmaktadır (Eylül 2024: 6.517 milyon TL net borç pozisyonu). Aynı dönemde net borç/FAVÖK </w:t>
      </w:r>
      <w:proofErr w:type="spellStart"/>
      <w:r>
        <w:rPr>
          <w:rFonts w:eastAsia="Times New Roman"/>
          <w:lang w:eastAsia="tr-TR"/>
        </w:rPr>
        <w:t>rasyosu</w:t>
      </w:r>
      <w:proofErr w:type="spellEnd"/>
      <w:r>
        <w:rPr>
          <w:rFonts w:eastAsia="Times New Roman"/>
          <w:lang w:eastAsia="tr-TR"/>
        </w:rPr>
        <w:t xml:space="preserve"> ise 5.8x oldu (Eylül 2024: 5.1x net borç/FAVÖK).</w:t>
      </w:r>
    </w:p>
    <w:p w:rsidR="000478D1" w:rsidRDefault="000478D1" w:rsidP="000478D1">
      <w:pPr>
        <w:numPr>
          <w:ilvl w:val="0"/>
          <w:numId w:val="2"/>
        </w:numPr>
        <w:spacing w:line="360" w:lineRule="auto"/>
        <w:jc w:val="both"/>
        <w:rPr>
          <w:rFonts w:eastAsia="Times New Roman"/>
          <w:b/>
          <w:bCs/>
          <w:color w:val="000000"/>
          <w:lang w:eastAsia="tr-TR"/>
        </w:rPr>
      </w:pPr>
      <w:r>
        <w:rPr>
          <w:rFonts w:eastAsia="Times New Roman"/>
          <w:lang w:eastAsia="tr-TR"/>
        </w:rPr>
        <w:t xml:space="preserve">Diğer yandan </w:t>
      </w:r>
      <w:r>
        <w:rPr>
          <w:rFonts w:eastAsia="Times New Roman"/>
          <w:b/>
          <w:bCs/>
          <w:lang w:eastAsia="tr-TR"/>
        </w:rPr>
        <w:t xml:space="preserve">Şirket, gelecek yıl beklentilerini de paylaştı. Buna göre, 2024 yılı tamamı için paylaşılan 251 milyon </w:t>
      </w:r>
      <w:proofErr w:type="spellStart"/>
      <w:r>
        <w:rPr>
          <w:rFonts w:eastAsia="Times New Roman"/>
          <w:b/>
          <w:bCs/>
          <w:lang w:eastAsia="tr-TR"/>
        </w:rPr>
        <w:t>USD’lik</w:t>
      </w:r>
      <w:proofErr w:type="spellEnd"/>
      <w:r>
        <w:rPr>
          <w:rFonts w:eastAsia="Times New Roman"/>
          <w:b/>
          <w:bCs/>
          <w:lang w:eastAsia="tr-TR"/>
        </w:rPr>
        <w:t xml:space="preserve"> satış geliri beklentisinin %12 üzerinde 281 milyon USD gelir elde edildiği belirtilirken,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lang w:eastAsia="tr-TR"/>
        </w:rPr>
        <w:t xml:space="preserve">2025 yılı için iştiraklerden 150 milyon USD katkı beraberinde 516 milyon USD satış geliri öngörülmektedir. Ayrıca, yatırımların finansal sonuçlara önemli katkılar sağlayacağı varsayımı altında uzun vadeli olarak %20-25 FAVÖK marjı ile 1,5 milyar USD </w:t>
      </w:r>
      <w:proofErr w:type="gramStart"/>
      <w:r>
        <w:rPr>
          <w:rFonts w:eastAsia="Times New Roman"/>
          <w:b/>
          <w:bCs/>
          <w:lang w:eastAsia="tr-TR"/>
        </w:rPr>
        <w:t>konsolide</w:t>
      </w:r>
      <w:proofErr w:type="gramEnd"/>
      <w:r>
        <w:rPr>
          <w:rFonts w:eastAsia="Times New Roman"/>
          <w:b/>
          <w:bCs/>
          <w:lang w:eastAsia="tr-TR"/>
        </w:rPr>
        <w:t xml:space="preserve"> gelir hedefi bulunmaktadır.</w:t>
      </w:r>
    </w:p>
    <w:p w:rsidR="000478D1" w:rsidRDefault="000478D1" w:rsidP="000478D1">
      <w:pPr>
        <w:rPr>
          <w:color w:val="000000"/>
          <w:lang w:eastAsia="tr-TR"/>
        </w:rPr>
      </w:pPr>
    </w:p>
    <w:p w:rsidR="000478D1" w:rsidRDefault="000478D1" w:rsidP="000478D1">
      <w:pPr>
        <w:jc w:val="both"/>
        <w:rPr>
          <w:b/>
          <w:bCs/>
          <w:color w:val="000000"/>
          <w:lang w:eastAsia="tr-TR"/>
        </w:rPr>
      </w:pPr>
      <w:r>
        <w:rPr>
          <w:b/>
          <w:bCs/>
          <w:u w:val="single"/>
          <w:lang w:eastAsia="tr-TR"/>
        </w:rPr>
        <w:t>Genel değerlendirme</w:t>
      </w:r>
      <w:r>
        <w:t xml:space="preserve"> </w:t>
      </w:r>
      <w:r>
        <w:rPr>
          <w:b/>
          <w:bCs/>
        </w:rPr>
        <w:t>Zayıf rakamlar dolayısıyla açıklanan finansal sonuçların hisse performansı üzerinde olumsuz etki yaratacağını düşünüyoruz.</w:t>
      </w:r>
      <w:r>
        <w:t xml:space="preserve"> </w:t>
      </w:r>
      <w:r>
        <w:rPr>
          <w:lang w:eastAsia="tr-TR"/>
        </w:rPr>
        <w:t xml:space="preserve">Finansalların ardından 2024 yılı gerçekleşmeleri ve net borç pozisyonundaki artışı modelimize yansıtmamız neticesinde </w:t>
      </w:r>
      <w:proofErr w:type="spellStart"/>
      <w:r>
        <w:rPr>
          <w:b/>
          <w:bCs/>
          <w:lang w:eastAsia="tr-TR"/>
        </w:rPr>
        <w:t>Kontrolmatik</w:t>
      </w:r>
      <w:proofErr w:type="spellEnd"/>
      <w:r>
        <w:rPr>
          <w:b/>
          <w:bCs/>
          <w:lang w:eastAsia="tr-TR"/>
        </w:rPr>
        <w:t xml:space="preserve"> Teknoloji için 12-aylık hedef fiyatımızı 64,00 TL’den 60,00 TL’ye indiriyor, önerimizi TUT olarak sürdürüyoruz.</w:t>
      </w:r>
      <w:r>
        <w:rPr>
          <w:lang w:eastAsia="tr-TR"/>
        </w:rPr>
        <w:t xml:space="preserve"> </w:t>
      </w:r>
      <w:r>
        <w:rPr>
          <w:b/>
          <w:bCs/>
          <w:lang w:eastAsia="tr-TR"/>
        </w:rPr>
        <w:t xml:space="preserve">Hisse, </w:t>
      </w:r>
      <w:proofErr w:type="gramStart"/>
      <w:r>
        <w:rPr>
          <w:b/>
          <w:bCs/>
          <w:lang w:eastAsia="tr-TR"/>
        </w:rPr>
        <w:lastRenderedPageBreak/>
        <w:t>yıl başından</w:t>
      </w:r>
      <w:proofErr w:type="gramEnd"/>
      <w:r>
        <w:rPr>
          <w:b/>
          <w:bCs/>
          <w:lang w:eastAsia="tr-TR"/>
        </w:rPr>
        <w:t xml:space="preserve"> itibaren BIST 100 endeksinin %14.9 altında performans göstermiştir. Geriye dönük 12 aylık verilere göre hisse 82.6x F/K ve 25.6x FD/FAVÖK çarpanlarından işlem görmektedir.</w:t>
      </w:r>
    </w:p>
    <w:p w:rsidR="000478D1" w:rsidRDefault="000478D1" w:rsidP="000478D1">
      <w:pPr>
        <w:rPr>
          <w:color w:val="000000"/>
          <w:lang w:eastAsia="tr-TR"/>
        </w:rPr>
      </w:pPr>
    </w:p>
    <w:p w:rsidR="000478D1" w:rsidRDefault="000478D1" w:rsidP="000478D1">
      <w:r>
        <w:rPr>
          <w:noProof/>
          <w:lang w:eastAsia="tr-TR"/>
        </w:rPr>
        <w:drawing>
          <wp:inline distT="0" distB="0" distL="0" distR="0">
            <wp:extent cx="12249150" cy="4400550"/>
            <wp:effectExtent l="0" t="0" r="0" b="0"/>
            <wp:docPr id="2" name="Resim 2" descr="cid:image002.png@01DB9261.F75C3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B9261.F75C35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D1" w:rsidRDefault="000478D1" w:rsidP="000478D1">
      <w:pPr>
        <w:spacing w:line="280" w:lineRule="exact"/>
        <w:jc w:val="both"/>
      </w:pPr>
    </w:p>
    <w:p w:rsidR="000478D1" w:rsidRDefault="000478D1" w:rsidP="000478D1">
      <w:pPr>
        <w:spacing w:before="20" w:after="20"/>
        <w:rPr>
          <w:color w:val="000000"/>
          <w:sz w:val="20"/>
          <w:szCs w:val="20"/>
          <w:lang w:eastAsia="tr-TR"/>
        </w:rPr>
      </w:pPr>
      <w:r>
        <w:t> </w:t>
      </w:r>
    </w:p>
    <w:p w:rsidR="00376999" w:rsidRPr="000478D1" w:rsidRDefault="00376999" w:rsidP="000478D1"/>
    <w:sectPr w:rsidR="00376999" w:rsidRPr="00047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FreeSetC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425"/>
    <w:multiLevelType w:val="hybridMultilevel"/>
    <w:tmpl w:val="0F9AD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65"/>
    <w:rsid w:val="000478D1"/>
    <w:rsid w:val="00376999"/>
    <w:rsid w:val="00C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96879-B108-4DA2-A545-9929826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6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PIntroduction">
    <w:name w:val="FP_Introduction"/>
    <w:basedOn w:val="Normal"/>
    <w:rsid w:val="00CE3C65"/>
    <w:pPr>
      <w:spacing w:before="120" w:line="280" w:lineRule="exact"/>
      <w:jc w:val="both"/>
    </w:pPr>
    <w:rPr>
      <w:b/>
      <w:bCs/>
      <w:sz w:val="19"/>
      <w:szCs w:val="19"/>
    </w:rPr>
  </w:style>
  <w:style w:type="character" w:styleId="Kpr">
    <w:name w:val="Hyperlink"/>
    <w:basedOn w:val="VarsaylanParagrafYazTipi"/>
    <w:uiPriority w:val="99"/>
    <w:semiHidden/>
    <w:unhideWhenUsed/>
    <w:rsid w:val="00047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B9261.F75C35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2025-03-11T06:09:00Z</dcterms:created>
  <dcterms:modified xsi:type="dcterms:W3CDTF">2025-03-11T06:12:00Z</dcterms:modified>
</cp:coreProperties>
</file>