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3" w:rsidRDefault="006F19B3" w:rsidP="006F19B3">
      <w:pPr>
        <w:rPr>
          <w:b/>
          <w:bCs/>
          <w:caps/>
          <w:color w:val="7F7F7F"/>
          <w:sz w:val="24"/>
          <w:szCs w:val="24"/>
          <w:lang w:val="en-US" w:eastAsia="tr-TR"/>
        </w:rPr>
      </w:pPr>
      <w:bookmarkStart w:id="0" w:name="_GoBack"/>
      <w:bookmarkEnd w:id="0"/>
      <w:r>
        <w:rPr>
          <w:b/>
          <w:bCs/>
          <w:caps/>
          <w:color w:val="003366"/>
          <w:sz w:val="24"/>
          <w:szCs w:val="24"/>
          <w:lang w:val="en-US" w:eastAsia="tr-TR"/>
        </w:rPr>
        <w:t>DENIZ YATIRIM STRATEJİ &amp; ARAŞTIRMA</w:t>
      </w:r>
      <w:r>
        <w:rPr>
          <w:b/>
          <w:bCs/>
          <w:caps/>
          <w:color w:val="7F7F7F"/>
          <w:sz w:val="24"/>
          <w:szCs w:val="24"/>
          <w:lang w:val="en-US" w:eastAsia="tr-TR"/>
        </w:rPr>
        <w:t xml:space="preserve"> </w:t>
      </w:r>
    </w:p>
    <w:p w:rsidR="006F19B3" w:rsidRDefault="006F19B3" w:rsidP="006F19B3">
      <w:pPr>
        <w:jc w:val="center"/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</w:pPr>
      <w:r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  <w:pict>
          <v:rect id="_x0000_i1029" style="width:453.6pt;height:.75pt" o:hralign="center" o:hrstd="t" o:hrnoshade="t" o:hr="t" fillcolor="#036" stroked="f"/>
        </w:pict>
      </w:r>
    </w:p>
    <w:p w:rsidR="006F19B3" w:rsidRDefault="006F19B3" w:rsidP="006F19B3">
      <w:pPr>
        <w:spacing w:after="120"/>
        <w:rPr>
          <w:b/>
          <w:bCs/>
          <w:color w:val="003366"/>
          <w:sz w:val="44"/>
          <w:szCs w:val="44"/>
          <w:lang w:val="en-US" w:eastAsia="tr-TR"/>
        </w:rPr>
      </w:pP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Özak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Gayrimenkul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Yatırım </w:t>
      </w: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Ortaklığı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(OZKGY TI)</w:t>
      </w:r>
    </w:p>
    <w:p w:rsidR="006F19B3" w:rsidRDefault="006F19B3" w:rsidP="006F19B3">
      <w:pPr>
        <w:spacing w:after="120"/>
        <w:rPr>
          <w:b/>
          <w:bCs/>
          <w:color w:val="003366"/>
          <w:sz w:val="32"/>
          <w:szCs w:val="32"/>
          <w:lang w:val="en-US" w:eastAsia="tr-TR"/>
        </w:rPr>
      </w:pP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değerlendirmesi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</w:t>
      </w:r>
    </w:p>
    <w:p w:rsidR="006F19B3" w:rsidRDefault="006F19B3" w:rsidP="006F19B3">
      <w:pPr>
        <w:spacing w:line="280" w:lineRule="exact"/>
        <w:jc w:val="center"/>
        <w:rPr>
          <w:rFonts w:ascii="FreeSetC" w:eastAsia="Times New Roman" w:hAnsi="FreeSetC"/>
          <w:sz w:val="19"/>
          <w:szCs w:val="19"/>
          <w:lang w:eastAsia="tr-TR"/>
        </w:rPr>
      </w:pPr>
      <w:r>
        <w:rPr>
          <w:rFonts w:ascii="FreeSetC" w:eastAsia="Times New Roman" w:hAnsi="FreeSetC"/>
          <w:sz w:val="19"/>
          <w:szCs w:val="19"/>
          <w:lang w:eastAsia="tr-TR"/>
        </w:rPr>
        <w:pict>
          <v:rect id="_x0000_i1030" style="width:453.6pt;height:.75pt" o:hralign="center" o:hrstd="t" o:hrnoshade="t" o:hr="t" fillcolor="#036" stroked="f"/>
        </w:pict>
      </w:r>
    </w:p>
    <w:p w:rsidR="006F19B3" w:rsidRDefault="006F19B3" w:rsidP="006F19B3">
      <w:pPr>
        <w:pStyle w:val="FPIntroduction"/>
        <w:spacing w:before="60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Şirket, Araştırma kapsamımızda yer almamakla birlikte, son çeyrek finansallarını takiben, özet bilanço notunu sizlerle bilgi amaçlı paylaşmak istedik. </w:t>
      </w:r>
      <w:r>
        <w:rPr>
          <w:color w:val="FF0000"/>
          <w:sz w:val="24"/>
          <w:szCs w:val="24"/>
          <w:u w:val="single"/>
        </w:rPr>
        <w:t>Bu nedenle sonuçlara dair herhangi bir yorum/değerlendirmemiz söz konusu değildir.</w:t>
      </w:r>
    </w:p>
    <w:p w:rsidR="006F19B3" w:rsidRDefault="006F19B3" w:rsidP="006F19B3">
      <w:pPr>
        <w:pStyle w:val="FPIntroduction"/>
        <w:spacing w:before="60"/>
        <w:rPr>
          <w:sz w:val="22"/>
          <w:szCs w:val="22"/>
        </w:rPr>
      </w:pPr>
    </w:p>
    <w:p w:rsidR="006F19B3" w:rsidRDefault="006F19B3" w:rsidP="006F19B3">
      <w:pPr>
        <w:pStyle w:val="FPIntroduction"/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Enflasyon muhasebesi uygulanmış verilere göre, Özak Gayrimenkul ’un 4Ç24 dönemine ait kısa </w:t>
      </w:r>
      <w:proofErr w:type="gramStart"/>
      <w:r>
        <w:rPr>
          <w:sz w:val="22"/>
          <w:szCs w:val="22"/>
        </w:rPr>
        <w:t>finansal</w:t>
      </w:r>
      <w:proofErr w:type="gramEnd"/>
      <w:r>
        <w:rPr>
          <w:sz w:val="22"/>
          <w:szCs w:val="22"/>
        </w:rPr>
        <w:t xml:space="preserve"> sonuçlarının değerlendirmesini aşağıda bulabilirsiniz.</w:t>
      </w:r>
    </w:p>
    <w:p w:rsidR="006F19B3" w:rsidRDefault="006F19B3" w:rsidP="006F19B3">
      <w:pPr>
        <w:pStyle w:val="FPIntroduction"/>
        <w:spacing w:before="60" w:line="360" w:lineRule="auto"/>
        <w:rPr>
          <w:sz w:val="22"/>
          <w:szCs w:val="22"/>
        </w:rPr>
      </w:pPr>
    </w:p>
    <w:p w:rsidR="006F19B3" w:rsidRDefault="006F19B3" w:rsidP="006F19B3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Özak Gayrimenkul,  4Ç24'te yıllık </w:t>
      </w:r>
      <w:proofErr w:type="gramStart"/>
      <w:r>
        <w:rPr>
          <w:rFonts w:eastAsia="Times New Roman"/>
          <w:color w:val="000000"/>
          <w:lang w:eastAsia="tr-TR"/>
        </w:rPr>
        <w:t>bazda</w:t>
      </w:r>
      <w:proofErr w:type="gramEnd"/>
      <w:r>
        <w:rPr>
          <w:rFonts w:eastAsia="Times New Roman"/>
          <w:color w:val="000000"/>
          <w:lang w:eastAsia="tr-TR"/>
        </w:rPr>
        <w:t xml:space="preserve"> %262 artışla 2.456 milyon TL satış geliri kaydetti. </w:t>
      </w:r>
    </w:p>
    <w:p w:rsidR="006F19B3" w:rsidRDefault="006F19B3" w:rsidP="006F19B3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Şirket'in brüt karı bu dönemde 546 milyon TL seviyesinde gerçekleşirken, brüt kar </w:t>
      </w:r>
      <w:proofErr w:type="gramStart"/>
      <w:r>
        <w:rPr>
          <w:rFonts w:eastAsia="Times New Roman"/>
          <w:color w:val="000000"/>
          <w:lang w:eastAsia="tr-TR"/>
        </w:rPr>
        <w:t>marjı</w:t>
      </w:r>
      <w:proofErr w:type="gramEnd"/>
      <w:r>
        <w:rPr>
          <w:rFonts w:eastAsia="Times New Roman"/>
          <w:color w:val="000000"/>
          <w:lang w:eastAsia="tr-TR"/>
        </w:rPr>
        <w:t xml:space="preserve"> %22.2 oldu. </w:t>
      </w:r>
    </w:p>
    <w:p w:rsidR="006F19B3" w:rsidRDefault="006F19B3" w:rsidP="006F19B3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Şirket, 4Ç24 döneminde 313 milyon TL net zarar açıkladı (3Ç24: 1.505 milyon TL net kar, 4Ç23: 626 milyon TL net kar). Şirket, 4Ç24'te 1.170 milyon TL net diğer gelir (4Ç23: 2.723 milyon TL net diğer gider), 227.7 milyon TL net finansman gideri (4Ç23: 357.8 milyon TL net finansman geliri) ve 297.7 milyon TL vergi gideri (4Ç23: 4.8 milyon TL vergi gideri) kaydetti. </w:t>
      </w:r>
    </w:p>
    <w:p w:rsidR="006F19B3" w:rsidRDefault="006F19B3" w:rsidP="006F19B3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Enflasyon muhasebesi nedeniyle parasal kazanç/kayıp kalemi altında 1.271 milyon TL’lik olumsuz etki oluştu. </w:t>
      </w:r>
    </w:p>
    <w:p w:rsidR="006F19B3" w:rsidRDefault="006F19B3" w:rsidP="006F19B3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lang w:eastAsia="tr-TR"/>
        </w:rPr>
      </w:pPr>
      <w:proofErr w:type="gramStart"/>
      <w:r>
        <w:rPr>
          <w:rFonts w:eastAsia="Times New Roman"/>
          <w:color w:val="000000"/>
          <w:lang w:eastAsia="tr-TR"/>
        </w:rPr>
        <w:t>Yıl sonu</w:t>
      </w:r>
      <w:proofErr w:type="gramEnd"/>
      <w:r>
        <w:rPr>
          <w:rFonts w:eastAsia="Times New Roman"/>
          <w:color w:val="000000"/>
          <w:lang w:eastAsia="tr-TR"/>
        </w:rPr>
        <w:t xml:space="preserve"> itibariyle Şirket’in 3.432 milyon TL net nakit pozisyonu bulunmaktadır (Eylül 2024: 1.822 milyon TL net nakit pozisyonu). Aynı dönemde net nakit/FAVÖK </w:t>
      </w:r>
      <w:proofErr w:type="spellStart"/>
      <w:r>
        <w:rPr>
          <w:rFonts w:eastAsia="Times New Roman"/>
          <w:color w:val="000000"/>
          <w:lang w:eastAsia="tr-TR"/>
        </w:rPr>
        <w:t>rasyosu</w:t>
      </w:r>
      <w:proofErr w:type="spellEnd"/>
      <w:r>
        <w:rPr>
          <w:rFonts w:eastAsia="Times New Roman"/>
          <w:color w:val="000000"/>
          <w:lang w:eastAsia="tr-TR"/>
        </w:rPr>
        <w:t xml:space="preserve"> ise 2.32x oldu (Eylül 2024: 2.03x net nakit/FAVÖK). </w:t>
      </w:r>
    </w:p>
    <w:p w:rsidR="006F19B3" w:rsidRDefault="006F19B3" w:rsidP="006F19B3">
      <w:pPr>
        <w:rPr>
          <w:color w:val="000000"/>
          <w:lang w:eastAsia="tr-TR"/>
        </w:rPr>
      </w:pPr>
    </w:p>
    <w:p w:rsidR="006F19B3" w:rsidRDefault="006F19B3" w:rsidP="006F19B3">
      <w:pPr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Mevcut durumda, Özak Gayrimenkul  için 12-aylık hedef fiyatımız 21.70 TL, önerimiz de AL yönünde. Hisse, </w:t>
      </w:r>
      <w:proofErr w:type="gramStart"/>
      <w:r>
        <w:rPr>
          <w:b/>
          <w:bCs/>
          <w:color w:val="000000"/>
          <w:lang w:eastAsia="tr-TR"/>
        </w:rPr>
        <w:t>yıl başından</w:t>
      </w:r>
      <w:proofErr w:type="gramEnd"/>
      <w:r>
        <w:rPr>
          <w:b/>
          <w:bCs/>
          <w:color w:val="000000"/>
          <w:lang w:eastAsia="tr-TR"/>
        </w:rPr>
        <w:t xml:space="preserve"> itibaren BIST 100 endeksinin %18.3 altında performans göstermiştir. Geriye dönük 12 aylık verilere göre hisse 10.22x F/K ve </w:t>
      </w:r>
      <w:r>
        <w:rPr>
          <w:b/>
          <w:bCs/>
          <w:lang w:eastAsia="tr-TR"/>
        </w:rPr>
        <w:t>0</w:t>
      </w:r>
      <w:r>
        <w:rPr>
          <w:b/>
          <w:bCs/>
          <w:color w:val="000000"/>
          <w:lang w:eastAsia="tr-TR"/>
        </w:rPr>
        <w:t>.</w:t>
      </w:r>
      <w:r>
        <w:rPr>
          <w:b/>
          <w:bCs/>
          <w:lang w:eastAsia="tr-TR"/>
        </w:rPr>
        <w:t>4</w:t>
      </w:r>
      <w:r>
        <w:rPr>
          <w:b/>
          <w:bCs/>
          <w:color w:val="000000"/>
          <w:lang w:eastAsia="tr-TR"/>
        </w:rPr>
        <w:t xml:space="preserve">x </w:t>
      </w:r>
      <w:r>
        <w:rPr>
          <w:b/>
          <w:bCs/>
          <w:lang w:eastAsia="tr-TR"/>
        </w:rPr>
        <w:t>PD</w:t>
      </w:r>
      <w:r>
        <w:rPr>
          <w:b/>
          <w:bCs/>
          <w:color w:val="000000"/>
          <w:lang w:eastAsia="tr-TR"/>
        </w:rPr>
        <w:t>/</w:t>
      </w:r>
      <w:r>
        <w:rPr>
          <w:b/>
          <w:bCs/>
          <w:lang w:eastAsia="tr-TR"/>
        </w:rPr>
        <w:t>DD</w:t>
      </w:r>
      <w:r>
        <w:rPr>
          <w:b/>
          <w:bCs/>
          <w:color w:val="000000"/>
          <w:lang w:eastAsia="tr-TR"/>
        </w:rPr>
        <w:t xml:space="preserve"> çarpanlarından işlem görmektedir.</w:t>
      </w:r>
    </w:p>
    <w:p w:rsidR="006F19B3" w:rsidRDefault="006F19B3" w:rsidP="006F19B3">
      <w:pPr>
        <w:rPr>
          <w:color w:val="000000"/>
          <w:lang w:eastAsia="tr-TR"/>
        </w:rPr>
      </w:pPr>
    </w:p>
    <w:p w:rsidR="006F19B3" w:rsidRDefault="006F19B3" w:rsidP="006F19B3">
      <w:r>
        <w:rPr>
          <w:noProof/>
          <w:lang w:eastAsia="tr-TR"/>
        </w:rPr>
        <w:lastRenderedPageBreak/>
        <w:drawing>
          <wp:inline distT="0" distB="0" distL="0" distR="0">
            <wp:extent cx="16440150" cy="6677025"/>
            <wp:effectExtent l="0" t="0" r="0" b="9525"/>
            <wp:docPr id="1" name="Resim 1" descr="cid:image001.png@01DB9261.68FDD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9261.68FDD4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B3" w:rsidRDefault="006F19B3" w:rsidP="006F19B3">
      <w:pPr>
        <w:spacing w:line="280" w:lineRule="exact"/>
        <w:jc w:val="both"/>
      </w:pPr>
    </w:p>
    <w:p w:rsidR="006F19B3" w:rsidRDefault="006F19B3" w:rsidP="006F19B3">
      <w:pPr>
        <w:spacing w:before="20" w:after="20"/>
        <w:rPr>
          <w:color w:val="000000"/>
          <w:sz w:val="20"/>
          <w:szCs w:val="20"/>
          <w:lang w:eastAsia="tr-TR"/>
        </w:rPr>
      </w:pPr>
      <w:r>
        <w:t> </w:t>
      </w:r>
    </w:p>
    <w:p w:rsidR="006F19B3" w:rsidRDefault="006F19B3" w:rsidP="006F19B3">
      <w:pPr>
        <w:jc w:val="center"/>
        <w:rPr>
          <w:rFonts w:eastAsia="Times New Roman"/>
          <w:color w:val="000000"/>
          <w:sz w:val="20"/>
          <w:szCs w:val="20"/>
          <w:lang w:eastAsia="tr-TR"/>
        </w:rPr>
      </w:pPr>
      <w:r>
        <w:rPr>
          <w:rFonts w:eastAsia="Times New Roman"/>
          <w:color w:val="000000"/>
          <w:sz w:val="20"/>
          <w:szCs w:val="20"/>
          <w:lang w:eastAsia="tr-TR"/>
        </w:rPr>
        <w:pict>
          <v:rect id="_x0000_i1032" style="width:453.6pt;height:.75pt" o:hralign="center" o:hrstd="t" o:hrnoshade="t" o:hr="t" fillcolor="#036" stroked="f"/>
        </w:pict>
      </w:r>
    </w:p>
    <w:p w:rsidR="00376999" w:rsidRPr="006F19B3" w:rsidRDefault="00376999" w:rsidP="006F19B3"/>
    <w:sectPr w:rsidR="00376999" w:rsidRPr="006F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eeSetC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26"/>
    <w:multiLevelType w:val="hybridMultilevel"/>
    <w:tmpl w:val="55D075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425"/>
    <w:multiLevelType w:val="hybridMultilevel"/>
    <w:tmpl w:val="0F9AD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65"/>
    <w:rsid w:val="000478D1"/>
    <w:rsid w:val="00376999"/>
    <w:rsid w:val="006F19B3"/>
    <w:rsid w:val="00C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6879-B108-4DA2-A545-9929826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6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PIntroduction">
    <w:name w:val="FP_Introduction"/>
    <w:basedOn w:val="Normal"/>
    <w:rsid w:val="00CE3C65"/>
    <w:pPr>
      <w:spacing w:before="120" w:line="280" w:lineRule="exact"/>
      <w:jc w:val="both"/>
    </w:pPr>
    <w:rPr>
      <w:b/>
      <w:bCs/>
      <w:sz w:val="19"/>
      <w:szCs w:val="19"/>
    </w:rPr>
  </w:style>
  <w:style w:type="character" w:styleId="Kpr">
    <w:name w:val="Hyperlink"/>
    <w:basedOn w:val="VarsaylanParagrafYazTipi"/>
    <w:uiPriority w:val="99"/>
    <w:semiHidden/>
    <w:unhideWhenUsed/>
    <w:rsid w:val="00047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9261.68FDD4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2025-03-11T06:09:00Z</dcterms:created>
  <dcterms:modified xsi:type="dcterms:W3CDTF">2025-03-11T06:13:00Z</dcterms:modified>
</cp:coreProperties>
</file>