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152" w:rsidRPr="00EB6C32" w:rsidRDefault="00EB6C32" w:rsidP="00EB6C32">
      <w:r>
        <w:rPr>
          <w:rStyle w:val="Gl"/>
        </w:rPr>
        <w:t>NVIDIA Corporation (NASDAQ:NVDA)</w:t>
      </w:r>
      <w:r>
        <w:br/>
      </w:r>
      <w:r>
        <w:br/>
        <w:t>NVIDIA, 2Ç26’da 46,7 milyar $ gelir açıkladı. Bu rakam, çeyreklik bazda %6, yıllık bazda ise %56 artış göstererek piyasa beklentilerini teyit eden güçlü bir tablo ortaya koydu. Gelirin ana kalemi olan Veri Merkezi segmenti, 41,1 milyar $ ile toplam gelirlerin %88’ini oluşturdu ve çeyreklik %5, yıllık %56 büyüme kaydetti. Özellikle Blackwell mimarisi üzerine inşa edilen yeni nesil çözümler, segment büyümesinde ana katalist oldu; Blackwell Veri Merkezi gelirleri çeyreklik %17 artış gösterdi. Net gelir, bir önceki yılın aynı dönemindeki 16,6 milyar dolardan %59 artarak 26,42 milyar dolara yükseldi. </w:t>
      </w:r>
      <w:r>
        <w:br/>
      </w:r>
      <w:r>
        <w:br/>
        <w:t>Şirketin brüt kâr marjı %72,7 seviyesinde gerçekleşti. 180 milyon $’lık H20 stok serbest bırakılması hariç tutulduğunda, marj %72,3 seviyesinde olup sürdürülebilir kârlılığı işaret ediyor. Düzeltilmiş pay başına kâr 1,05 $. 2Ç finansalları yüksek marjlı veri merkezi ürünlerinin şirketin kârlılık dinamiklerini güçlendirdiğini gösteriyor.</w:t>
      </w:r>
      <w:r>
        <w:br/>
      </w:r>
      <w:r>
        <w:br/>
        <w:t>•Çeyrek içinde H20 satışı yapılmaması, jeopolitik kısıtlamalara rağmen NVIDIA’nın Çin dışındaki güçlü müşteri talebiyle gelirlerini çeşitlendirdiğini ortaya koyuyor.</w:t>
      </w:r>
      <w:r>
        <w:br/>
        <w:t>•İlk yarıda 24,3 milyar $ hissedarlara ödeme gerçekleşti. Ek olarak Yönetim Kurulu, 60 milyar $ yeni hisse geri alım yetkisi verdi. Bu karar, şirketin nakit yaratma kapasitesine duyduğu güveni ve hisse fiyatı için uzun vadeli destek potansiyelini öne çıkarıyor.</w:t>
      </w:r>
      <w:r>
        <w:br/>
        <w:t>•Hisse başına 0,01 $ temettü ile şirket, büyüme ve AR-GE odaklı sermaye kullanımını sürdürürken hissedarlarına sembolik de olsa nakit dönüş sağlıyor.</w:t>
      </w:r>
      <w:r>
        <w:br/>
        <w:t>•CEO Jensen Huang’ın “Blackwell, yapay zekâ yarışının merkezinde” vurgusu, NVIDIA’nın NVLink tabanlı raf ölçekli bilişim teknolojisi ile sektördeki liderliğini pekiştirdiğini gösteriyor. Piyasa açısından bu mesaj, NVIDIA’nın sadece donanım değil, aynı zamanda yeni nesil yapay zekâ altyapısının standardını belirleyen bir platform sağlayıcı konumunda olduğunu teyit ediyor.</w:t>
      </w:r>
      <w:r>
        <w:br/>
        <w:t>•Blackwell talebi, NVLink çözümleri, veri merkezi ölçeğinde yapay zekâ yatırımlarının hızlanması.</w:t>
      </w:r>
      <w:r>
        <w:br/>
        <w:t>• Riskler: ABD-Çin teknolojik gerilimi, yarı iletken döngüsünde olası yavaşlama, rakiplerin (AMD, Intel, özel AI çip girişimleri) agresif fiyatlama stratejileri olarak kalmaya devam ediyor.</w:t>
      </w:r>
      <w:r>
        <w:br/>
        <w:t>•Güçlü bilanço ve hisse geri alım programı hisse üzerinde orta-uzun vadede pozitif etki yaratabilir. Ancak kârlılık ve gelir büyümesinin sürmesi, özellikle 2026 ikinci yarısındaki Blackwell Ultra teslimat temposuna bağlı olacak. </w:t>
      </w:r>
      <w:r>
        <w:br/>
      </w:r>
      <w:r>
        <w:br/>
      </w:r>
      <w:r>
        <w:rPr>
          <w:rStyle w:val="Gl"/>
        </w:rPr>
        <w:t>Snowflake Inc (NYSE:SNOW)</w:t>
      </w:r>
      <w:r>
        <w:br/>
      </w:r>
      <w:r>
        <w:br/>
        <w:t xml:space="preserve">Snowflake, 2Ç26’da 1,1 milyar $ toplam gelir açıkladı. Bu rakam, yıllık bazda %32 büyüme anlamına geliyor. Şirketin ana iş kolunu oluşturan ürün gelirleri 1,09 milyar $ seviyesinde gerçekleşti ve yıllık bazda %32 artış kaydetti. Büyüme, mevcut müşteri tabanında yüksek kullanım oranı ve yeni müşteri kazanımlarıyla desteklendi. Net gelir tutma oranı %125 seviyesinde, bu da mevcut müşterilerin platform kullanımını artırmaya devam ettiğini gösteriyor. Son 12 ayda 1 milyon $ üzerinde ürün geliri yaratan müşteri sayısı 654’e ulaştı (+%30 yıllık). Kurumsal müşteri tabanına baktığımızda Forbes Global 2000 şirketlerinden 751’i artık Snowflake müşterisi (+%5 yıllık). RPO 6,9 milyar $, yıllık bazda %33 artışla güçlü bir büyüme potansiyeli sinyali veriyor. Her ne kadar kâr tarafı rakamlarla öne çıkarılmamış olsa da, Snowflake’in yüksek net gelir tutma oranı (%125) ve büyük kurumsal müşteri kazanımları, gelir kalitesinin ve sürdürülebilir büyüme trendinin altını çiziyor. Özellikle, yapay zekâ destekli çözümlere yönelik artan talep, platformun ürün gelirlerinin kalıcı şekilde genişlemesine katkı </w:t>
      </w:r>
      <w:r>
        <w:lastRenderedPageBreak/>
        <w:t>sağlıyor. CEO Sridhar Ramaswamy, Snowflake’in “her işletmeyi veri ve yapay zekâ yoluyla tam potansiyeline ulaştırma” vizyonuna dikkat çekti. Şirketin 6.100’den fazla hesabının her hafta Snowflake AI kullanması, platformun müşteri tabanında derinlemesine benimsendiğini gösteriyor. Kullanım kolaylığı, esnek veri erişimi ve güvenilir altyapı, Snowflake’i farklı ölçek ve sektörden şirketler için stratejik bir tercih haline getiriyor. Güçlü ürün geliri büyümesi, yüksek net gelir tutma oranı, AI tabanlı çözümlerin yaygınlaşması, kurumsal müşteri kazanımı şirketin büyümesinde ana katalistler olarak belirtilebilir. Rekabetçi bulut veri platformları (AWS, Azure, Databricks), yapay zekâ pazarındaki yoğun rekabet, uzun vadede müşteri harcamalarında yavaşlama riski ise risk başlığı altındaki ana başlıkları oluşturuyor. Yüksek büyüme oranları ve artan kurumsal penetrasyonu pozitif değerlendiriyoruz. Ancak kâr marjı görünümü ve maliyet yönetimini  özellikle uzun vadeli değerleme açısından takip ediyoruz. Snowflake, daha önce 4,33 milyar dolar olarak tahmin ettiği yıllık ürün gelirinin 4,40 milyar dolara ulaşmasını bekliyor. Şirket, veri analitiği hizmetlerine olan talebin güçlü olması ve işletmelerin yapay zeka harcamalarına öncelik vermesiyle birlikte şirket, bu tahminini artırdı. SNOW hisseleri seans kapanışı sonrası işlemlerde %13 artıda. </w:t>
      </w:r>
      <w:bookmarkStart w:id="0" w:name="_GoBack"/>
      <w:bookmarkEnd w:id="0"/>
    </w:p>
    <w:sectPr w:rsidR="00D71152" w:rsidRPr="00EB6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2EC"/>
    <w:rsid w:val="000F4C20"/>
    <w:rsid w:val="00111836"/>
    <w:rsid w:val="002C52EC"/>
    <w:rsid w:val="00D71152"/>
    <w:rsid w:val="00EB6C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D7115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7115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711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71152"/>
    <w:rPr>
      <w:i/>
      <w:iCs/>
    </w:rPr>
  </w:style>
  <w:style w:type="character" w:styleId="Gl">
    <w:name w:val="Strong"/>
    <w:basedOn w:val="VarsaylanParagrafYazTipi"/>
    <w:uiPriority w:val="22"/>
    <w:qFormat/>
    <w:rsid w:val="00D71152"/>
    <w:rPr>
      <w:b/>
      <w:bCs/>
    </w:rPr>
  </w:style>
  <w:style w:type="character" w:styleId="Kpr">
    <w:name w:val="Hyperlink"/>
    <w:basedOn w:val="VarsaylanParagrafYazTipi"/>
    <w:uiPriority w:val="99"/>
    <w:semiHidden/>
    <w:unhideWhenUsed/>
    <w:rsid w:val="00D71152"/>
    <w:rPr>
      <w:color w:val="0000FF"/>
      <w:u w:val="single"/>
    </w:rPr>
  </w:style>
  <w:style w:type="paragraph" w:styleId="BalonMetni">
    <w:name w:val="Balloon Text"/>
    <w:basedOn w:val="Normal"/>
    <w:link w:val="BalonMetniChar"/>
    <w:uiPriority w:val="99"/>
    <w:semiHidden/>
    <w:unhideWhenUsed/>
    <w:rsid w:val="00D711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11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D7115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7115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711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71152"/>
    <w:rPr>
      <w:i/>
      <w:iCs/>
    </w:rPr>
  </w:style>
  <w:style w:type="character" w:styleId="Gl">
    <w:name w:val="Strong"/>
    <w:basedOn w:val="VarsaylanParagrafYazTipi"/>
    <w:uiPriority w:val="22"/>
    <w:qFormat/>
    <w:rsid w:val="00D71152"/>
    <w:rPr>
      <w:b/>
      <w:bCs/>
    </w:rPr>
  </w:style>
  <w:style w:type="character" w:styleId="Kpr">
    <w:name w:val="Hyperlink"/>
    <w:basedOn w:val="VarsaylanParagrafYazTipi"/>
    <w:uiPriority w:val="99"/>
    <w:semiHidden/>
    <w:unhideWhenUsed/>
    <w:rsid w:val="00D71152"/>
    <w:rPr>
      <w:color w:val="0000FF"/>
      <w:u w:val="single"/>
    </w:rPr>
  </w:style>
  <w:style w:type="paragraph" w:styleId="BalonMetni">
    <w:name w:val="Balloon Text"/>
    <w:basedOn w:val="Normal"/>
    <w:link w:val="BalonMetniChar"/>
    <w:uiPriority w:val="99"/>
    <w:semiHidden/>
    <w:unhideWhenUsed/>
    <w:rsid w:val="00D711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1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8176">
      <w:bodyDiv w:val="1"/>
      <w:marLeft w:val="0"/>
      <w:marRight w:val="0"/>
      <w:marTop w:val="0"/>
      <w:marBottom w:val="0"/>
      <w:divBdr>
        <w:top w:val="none" w:sz="0" w:space="0" w:color="auto"/>
        <w:left w:val="none" w:sz="0" w:space="0" w:color="auto"/>
        <w:bottom w:val="none" w:sz="0" w:space="0" w:color="auto"/>
        <w:right w:val="none" w:sz="0" w:space="0" w:color="auto"/>
      </w:divBdr>
    </w:div>
    <w:div w:id="314574257">
      <w:bodyDiv w:val="1"/>
      <w:marLeft w:val="0"/>
      <w:marRight w:val="0"/>
      <w:marTop w:val="0"/>
      <w:marBottom w:val="0"/>
      <w:divBdr>
        <w:top w:val="none" w:sz="0" w:space="0" w:color="auto"/>
        <w:left w:val="none" w:sz="0" w:space="0" w:color="auto"/>
        <w:bottom w:val="none" w:sz="0" w:space="0" w:color="auto"/>
        <w:right w:val="none" w:sz="0" w:space="0" w:color="auto"/>
      </w:divBdr>
    </w:div>
    <w:div w:id="425154548">
      <w:bodyDiv w:val="1"/>
      <w:marLeft w:val="0"/>
      <w:marRight w:val="0"/>
      <w:marTop w:val="0"/>
      <w:marBottom w:val="0"/>
      <w:divBdr>
        <w:top w:val="none" w:sz="0" w:space="0" w:color="auto"/>
        <w:left w:val="none" w:sz="0" w:space="0" w:color="auto"/>
        <w:bottom w:val="none" w:sz="0" w:space="0" w:color="auto"/>
        <w:right w:val="none" w:sz="0" w:space="0" w:color="auto"/>
      </w:divBdr>
    </w:div>
    <w:div w:id="193208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7</cp:revision>
  <dcterms:created xsi:type="dcterms:W3CDTF">2025-08-21T06:32:00Z</dcterms:created>
  <dcterms:modified xsi:type="dcterms:W3CDTF">2025-08-28T06:32:00Z</dcterms:modified>
</cp:coreProperties>
</file>