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E0E1" w14:textId="77777777" w:rsidR="0034796E" w:rsidRDefault="0034796E" w:rsidP="0034796E">
      <w:pPr>
        <w:pStyle w:val="NormalWeb"/>
      </w:pPr>
      <w:r>
        <w:t>Türkiye Cumhuriyeti Merkez Bankası 2024 yılının son para politikası kurulu toplantısında, politika faizi olan bir haftalık repo faiz oranını yüzde 50 seviyesinden 250 baz puanlık bir indirimle yüzde 47.5 seviyesine çekti. Gecelik borçlanma ve borç verme oranlarının, haftalık repo ihale faiz oranına göre aşağı/yukarı yönlü 150 baz puanlık bir koridor ile belirlenmesine karar verdi.</w:t>
      </w:r>
    </w:p>
    <w:p w14:paraId="19F90A02" w14:textId="77777777" w:rsidR="0034796E" w:rsidRDefault="0034796E" w:rsidP="0034796E">
      <w:pPr>
        <w:pStyle w:val="NormalWeb"/>
      </w:pPr>
      <w:r>
        <w:t>Banka, para politikası metninde son çeyrekle ilgili göstergeler yurt içindeki talebin yavaşlamayı sürdürdüğünü ve enflasyondaki düşüşü desteklediğini belirtti. Ayrıca aralık ayındaki öncü verilerin ana eğilimdeki düşüşüne dikkat çekti. Temel mal enflasyonundaki düşük seyrin ve hizmet enflasyonundaki iyileşmenin belirgin hale geldiğine dikkat çekerek, işlenmemiş gıda enflasyonunun geçen iki ayda gerçekleştirdiği yüksek seyirden sonra aralık ayında ılımlı seyrettiğini vurguladı. Merkez Bankası enflasyon beklentileri ve fiyatlama davranışlarının iyileşme eğiliminin devam ettiğini belirtti ve dezenflasyon süreci bakımından risk unsuru oluşturduğuna dikkat çekti.</w:t>
      </w:r>
    </w:p>
    <w:p w14:paraId="0201A25B" w14:textId="77777777" w:rsidR="0034796E" w:rsidRDefault="0034796E" w:rsidP="0034796E">
      <w:pPr>
        <w:pStyle w:val="NormalWeb"/>
      </w:pPr>
      <w:r>
        <w:t>Merkez Bankası maliye politikasındaki kararlılık ve para politikasındaki istikrarlı duruşa dikkat çekerek, yurt içi talepte dengelenme, Türk Lirasındaki güçlü seyrin ve enflasyon beklentilerinde belirginleşen iyileşmenin aylık enflasyonun ana eğilimini düşürmekle birlikte dezenflasyon sürecini güçlendirdiğini belirtti. Ayrıca banka, aylık enflasyonun ana eğiliminde belirgin ve kalıcı düşüş sağlanana kadar, politika faizini, enflasyon gerçeklemelerini ve beklentileri dikkate alarak sıkı duruş sergileyeceğini ve dezenflasyon sürecini destekleyeceğine işaret ederek, enflasyonda belirgin ve kalıcı bir bozulma öngörülmesi durumunda para politikası araçlarının etkin bir şekilde kullanmaktan çekinmeyeceğini söyledi.</w:t>
      </w:r>
    </w:p>
    <w:p w14:paraId="13BE364F" w14:textId="77777777" w:rsidR="0034796E" w:rsidRDefault="0034796E" w:rsidP="0034796E">
      <w:pPr>
        <w:pStyle w:val="NormalWeb"/>
      </w:pPr>
      <w:r>
        <w:t>Banka sterilizasyon araçlarının etkin bir şekilde kullanıldığını belirtirken, kredi ve mevduat piyasalarında olağandışı gelişmeler gerçekleşmesi durumunda parasal aktarım mekanizmasının makroihtiyati tedbirler ile destekleneceğine dikkat çekti.</w:t>
      </w:r>
    </w:p>
    <w:p w14:paraId="03361F7D" w14:textId="77777777" w:rsidR="0034796E" w:rsidRDefault="0034796E" w:rsidP="0034796E">
      <w:pPr>
        <w:pStyle w:val="NormalWeb"/>
      </w:pPr>
      <w:r>
        <w:t>Gelecek dönemdeki faiz indirim sürecine ilişkin herhangi bir yönlendirmede bulunmayan Merkez Bankası, enflasyon gerçekleşmelerine göre faiz patikasını belirleyebileceğini düşünüyoruz. 2025 yılında faiz indirim döngüsü yerine bekle gör stratejisi ağırlık kazanabilir. Buna göre faiz indirim döngüsünün gelecek yılın ilk yarısından sonra ağırlık kazanabileceği varsayımında bulunuyoruz</w:t>
      </w:r>
    </w:p>
    <w:p w14:paraId="38CE27F2" w14:textId="77777777" w:rsidR="003E0846" w:rsidRDefault="003E0846"/>
    <w:sectPr w:rsidR="003E0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3E"/>
    <w:rsid w:val="00310F7E"/>
    <w:rsid w:val="0034796E"/>
    <w:rsid w:val="003E0846"/>
    <w:rsid w:val="00DE2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DB2C7-E360-41C2-AA33-C39406CB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479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0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2</cp:revision>
  <dcterms:created xsi:type="dcterms:W3CDTF">2024-12-26T15:37:00Z</dcterms:created>
  <dcterms:modified xsi:type="dcterms:W3CDTF">2024-12-26T15:37:00Z</dcterms:modified>
</cp:coreProperties>
</file>