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17" w:rsidRDefault="002D4617" w:rsidP="002D4617">
      <w:pPr>
        <w:spacing w:after="160" w:line="233" w:lineRule="atLeast"/>
        <w:rPr>
          <w:rFonts w:ascii="Calibri" w:hAnsi="Calibri" w:cs="Calibri"/>
          <w:sz w:val="22"/>
          <w:szCs w:val="22"/>
        </w:rPr>
      </w:pPr>
      <w:bookmarkStart w:id="0" w:name="_GoBack"/>
      <w:bookmarkEnd w:id="0"/>
      <w:r>
        <w:rPr>
          <w:rFonts w:ascii="Calibri" w:hAnsi="Calibri" w:cs="Calibri"/>
          <w:b/>
          <w:bCs/>
          <w:sz w:val="22"/>
          <w:szCs w:val="22"/>
        </w:rPr>
        <w:t>CCOLA 2.Çeyrek 2025 Bilanço Analizi</w:t>
      </w:r>
    </w:p>
    <w:p w:rsidR="002D4617" w:rsidRDefault="002D4617" w:rsidP="002D4617">
      <w:pPr>
        <w:spacing w:after="160" w:line="233" w:lineRule="atLeast"/>
        <w:rPr>
          <w:rFonts w:ascii="Calibri" w:hAnsi="Calibri" w:cs="Calibri"/>
          <w:sz w:val="22"/>
          <w:szCs w:val="22"/>
        </w:rPr>
      </w:pPr>
      <w:r>
        <w:rPr>
          <w:rFonts w:ascii="Calibri" w:hAnsi="Calibri" w:cs="Calibri"/>
          <w:b/>
          <w:bCs/>
          <w:sz w:val="22"/>
          <w:szCs w:val="22"/>
        </w:rPr>
        <w:t>Genel Değerlendirme</w:t>
      </w:r>
    </w:p>
    <w:p w:rsidR="002D4617" w:rsidRDefault="002D4617" w:rsidP="002D4617">
      <w:pPr>
        <w:spacing w:after="160" w:line="233" w:lineRule="atLeast"/>
        <w:rPr>
          <w:rFonts w:ascii="Calibri" w:hAnsi="Calibri" w:cs="Calibri"/>
          <w:sz w:val="22"/>
          <w:szCs w:val="22"/>
        </w:rPr>
      </w:pPr>
      <w:r>
        <w:rPr>
          <w:rFonts w:ascii="Calibri" w:hAnsi="Calibri" w:cs="Calibri"/>
          <w:sz w:val="22"/>
          <w:szCs w:val="22"/>
        </w:rPr>
        <w:t>Coca-Cola İçecek, 2025 yılının ikinci çeyreğinde global ve bölgesel makroekonomik belirsizliklere karşın uluslararası pazarlardaki güçlü performansla, çeyreklik bazda ciddi bir toparlanma gösterdi. Konsolide satış hacmi 473 milyon ünite kasa ile geçen yılın aynı dönemine göre %4,7 artarken, bir önceki çeyreğe göre %22,2 büyüme kaydetti. Uluslararası operasyonlar yıllık %10,6, çeyreklik %20,5 artışla 312 milyon üniteye ulaşarak toplam hacmin %66’sını oluşturdu. Türkiye operasyonları ise yıllık %5 daralmasına rağmen çeyreklik bazda %26,8 artışla 161 milyon üniteye çıktı.</w:t>
      </w:r>
    </w:p>
    <w:p w:rsidR="002D4617" w:rsidRDefault="002D4617" w:rsidP="002D4617">
      <w:pPr>
        <w:spacing w:after="160" w:line="233" w:lineRule="atLeast"/>
        <w:rPr>
          <w:rFonts w:ascii="Calibri" w:hAnsi="Calibri" w:cs="Calibri"/>
          <w:sz w:val="22"/>
          <w:szCs w:val="22"/>
        </w:rPr>
      </w:pPr>
      <w:r>
        <w:rPr>
          <w:rFonts w:ascii="Calibri" w:hAnsi="Calibri" w:cs="Calibri"/>
          <w:b/>
          <w:bCs/>
          <w:sz w:val="22"/>
          <w:szCs w:val="22"/>
        </w:rPr>
        <w:t>Satış Hacimleri</w:t>
      </w:r>
    </w:p>
    <w:p w:rsidR="002D4617" w:rsidRDefault="002D4617" w:rsidP="002D4617">
      <w:pPr>
        <w:spacing w:after="160" w:line="233" w:lineRule="atLeast"/>
        <w:rPr>
          <w:rFonts w:ascii="Calibri" w:hAnsi="Calibri" w:cs="Calibri"/>
          <w:sz w:val="22"/>
          <w:szCs w:val="22"/>
        </w:rPr>
      </w:pPr>
      <w:r>
        <w:rPr>
          <w:rFonts w:ascii="Calibri" w:hAnsi="Calibri" w:cs="Calibri"/>
          <w:sz w:val="22"/>
          <w:szCs w:val="22"/>
        </w:rPr>
        <w:t>Türkiye pazarında 2Ç25 döneminde yaşanan %5,0'lık hacim daralması dikkat çekicidir. Bu düşüşte bayram tatilinin ilk çeyreğe kayması, tüketicilerin satın alma gücündeki düşüş ve olumsuz hava koşulları gibi faktörler etkili olmuştur. Ancak, bu daralmaya karşın küçük paketlerin payının artması (2Ç25'te 84 baz puan artarak %33,8’e ulaştı)  ve yerinde tüketim kanalının güçlenmesi (2Ç25'te 169 baz puan artarak %32,2'ye ulaştı), satış hacmi konusunda bir miktar toparlama sağlamıştır.</w:t>
      </w:r>
    </w:p>
    <w:p w:rsidR="002D4617" w:rsidRDefault="002D4617" w:rsidP="002D4617">
      <w:pPr>
        <w:spacing w:after="160" w:line="233" w:lineRule="atLeast"/>
        <w:rPr>
          <w:rFonts w:ascii="Calibri" w:hAnsi="Calibri" w:cs="Calibri"/>
          <w:sz w:val="22"/>
          <w:szCs w:val="22"/>
        </w:rPr>
      </w:pPr>
      <w:r>
        <w:rPr>
          <w:rFonts w:ascii="Calibri" w:hAnsi="Calibri" w:cs="Calibri"/>
          <w:sz w:val="22"/>
          <w:szCs w:val="22"/>
        </w:rPr>
        <w:t>Öte yandan, uluslararası operasyonlar 2Ç25'te %10,6 büyüme kaydederek konsolide büyümenin ana motoru olmuştur. Uluslararası operasyonların toplam hacimdeki payı %66,0'ya yükselmiştir. Bu büyümenin en büyük itici güçleri sırasıyla Özbekistan (%44,8), Kazakistan (%16,7) ve Irak (%10,6) olmuştur. Bu pazarlardaki güçlü performans, yeni ürün lansmanları ve saha operasyonlarındaki iyileşmelerle desteklenmiştir. Pakistan'da ise Türkiye'ye benzer şekilde, bayram tarihindeki olumsuzluklar ve kısa süreli siyasi gerilimler nedeniyle %1,5'lik bir hacim düşüşü yaşanmıştır, ancak yılın ilk yarısında kümülatif büyüme pozitif kalmıştır.</w:t>
      </w:r>
    </w:p>
    <w:p w:rsidR="002D4617" w:rsidRDefault="002D4617" w:rsidP="002D4617">
      <w:pPr>
        <w:spacing w:after="160" w:line="233" w:lineRule="atLeast"/>
        <w:rPr>
          <w:rFonts w:ascii="Calibri" w:hAnsi="Calibri" w:cs="Calibri"/>
          <w:sz w:val="22"/>
          <w:szCs w:val="22"/>
        </w:rPr>
      </w:pPr>
      <w:r>
        <w:rPr>
          <w:rFonts w:ascii="Calibri" w:hAnsi="Calibri" w:cs="Calibri"/>
          <w:b/>
          <w:bCs/>
          <w:sz w:val="22"/>
          <w:szCs w:val="22"/>
        </w:rPr>
        <w:t>Finansal Performans </w:t>
      </w:r>
    </w:p>
    <w:p w:rsidR="002D4617" w:rsidRDefault="002D4617" w:rsidP="002D4617">
      <w:pPr>
        <w:spacing w:after="160" w:line="233" w:lineRule="atLeast"/>
        <w:rPr>
          <w:rFonts w:ascii="Calibri" w:hAnsi="Calibri" w:cs="Calibri"/>
          <w:sz w:val="22"/>
          <w:szCs w:val="22"/>
        </w:rPr>
      </w:pPr>
      <w:r>
        <w:rPr>
          <w:rFonts w:ascii="Calibri" w:hAnsi="Calibri" w:cs="Calibri"/>
          <w:sz w:val="22"/>
          <w:szCs w:val="22"/>
        </w:rPr>
        <w:t>Enflasyon muhasebesinin dahliyle konsolide hasılat 48,1 milyar TL ile yıllık bazda %2,6 daralma gösterdi. Buna karşın bir önceki çeyreğe göre %26’lık bir artış gerçekleşti. Enflasyon muhasebesi etkisi hariç tutulduğunda ise hasılat yıllık %30,8 artarak 49,2 milyar TL oldu. Konsolide bazda brüt kâr marjı, 274 baz puan düşüşle %35,4'e gerilerken, bu düşüşte Türkiye pazarındaki hacim gerilemesinin etkisi belirgin olmuştur. Uluslararası operasyonların brüt kâr marjı ise %35,6 seviyesinde istikrarını korumuştur. </w:t>
      </w:r>
    </w:p>
    <w:p w:rsidR="002D4617" w:rsidRDefault="002D4617" w:rsidP="002D4617">
      <w:pPr>
        <w:spacing w:after="160" w:line="233" w:lineRule="atLeast"/>
        <w:rPr>
          <w:rFonts w:ascii="Calibri" w:hAnsi="Calibri" w:cs="Calibri"/>
          <w:sz w:val="22"/>
          <w:szCs w:val="22"/>
        </w:rPr>
      </w:pPr>
      <w:r>
        <w:rPr>
          <w:rFonts w:ascii="Calibri" w:hAnsi="Calibri" w:cs="Calibri"/>
          <w:sz w:val="22"/>
          <w:szCs w:val="22"/>
        </w:rPr>
        <w:t>FAVÖK, ikinci çeyrekte 9,1 milyar TL olarak gerçekleşti. Bu rakam yıllık bazda %18,7 düşüşe işaret ederken, çeyreklik bazda %84’lük bir artış anlamına gelmektedir. Konsolide FAVÖK marjı ise 375 baz puan azalarak %19,0'a gerilemiştir. Net kâr, TMS 29 uygulaması sonucunda bir önceki yıla göre %30,8 düşüşle 5,1 milyar TL olarak kaydedilmiştir. Bu düşüş, enflasyondaki yavaşlamaya bağlı olarak parasal kazançların azalmasından kaynaklanmaktadır. Enflasyon muhasebesi hariç net kâr ise %11,9 artışla 4,4 milyar TL olarak gerçekleşmiştir. </w:t>
      </w:r>
    </w:p>
    <w:p w:rsidR="002D4617" w:rsidRDefault="002D4617" w:rsidP="002D4617">
      <w:pPr>
        <w:spacing w:after="160" w:line="233" w:lineRule="atLeast"/>
        <w:rPr>
          <w:rFonts w:ascii="Calibri" w:hAnsi="Calibri" w:cs="Calibri"/>
          <w:sz w:val="22"/>
          <w:szCs w:val="22"/>
        </w:rPr>
      </w:pPr>
      <w:r>
        <w:rPr>
          <w:rFonts w:ascii="Calibri" w:hAnsi="Calibri" w:cs="Calibri"/>
          <w:sz w:val="22"/>
          <w:szCs w:val="22"/>
        </w:rPr>
        <w:t>Finansman tarafında 2,93 milyar TL net gider kaydedildi. 30 Haziran 2025 itibarıyla net borç 35,2 milyar TL’ye yükseldi ve net borç / FAVÖK oranı 1,36x seviyesinde korundu.</w:t>
      </w:r>
    </w:p>
    <w:p w:rsidR="002D4617" w:rsidRDefault="002D4617" w:rsidP="002D4617">
      <w:pPr>
        <w:spacing w:after="160" w:line="233" w:lineRule="atLeast"/>
        <w:rPr>
          <w:rFonts w:eastAsia="Times New Roman"/>
        </w:rPr>
      </w:pPr>
      <w:r>
        <w:rPr>
          <w:rFonts w:ascii="Calibri" w:hAnsi="Calibri" w:cs="Calibri"/>
          <w:sz w:val="22"/>
          <w:szCs w:val="22"/>
        </w:rPr>
        <w:t>Şirketin serbest nakit akımı, yatırım yoğun dönemin etkisiyle 1Y25’te -5,58 milyar TL oldu. Toplam yatırım harcaması 6,8 milyar TL seviyesinde gerçekleşirken, bunun %72’si uluslararası operasyonlara yönlendirildi. Azerbaycan’daki yeni fabrika yatırımı tamamlanırken, Temmuz ayında Irak’ta yeni tesisin devreye alındığı bildirildi.</w:t>
      </w:r>
      <w:r>
        <w:rPr>
          <w:rFonts w:eastAsia="Times New Roman"/>
        </w:rPr>
        <w:t xml:space="preserve"> </w:t>
      </w:r>
    </w:p>
    <w:p w:rsidR="00376999" w:rsidRPr="002D4617" w:rsidRDefault="00376999" w:rsidP="002D4617"/>
    <w:sectPr w:rsidR="00376999" w:rsidRPr="002D4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A9"/>
    <w:rsid w:val="002D4617"/>
    <w:rsid w:val="00376999"/>
    <w:rsid w:val="00605F2F"/>
    <w:rsid w:val="00641AA9"/>
    <w:rsid w:val="00CC2001"/>
    <w:rsid w:val="00EA4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7CF9-F06F-4988-BF27-BB1D255C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17"/>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EA45C3"/>
    <w:pPr>
      <w:spacing w:before="100" w:beforeAutospacing="1" w:after="100" w:afterAutospacing="1"/>
      <w:outlineLvl w:val="0"/>
    </w:pPr>
    <w:rPr>
      <w:rFonts w:eastAsia="Times New Roman"/>
      <w:b/>
      <w:bCs/>
      <w:kern w:val="36"/>
      <w:sz w:val="48"/>
      <w:szCs w:val="48"/>
    </w:rPr>
  </w:style>
  <w:style w:type="paragraph" w:styleId="Balk2">
    <w:name w:val="heading 2"/>
    <w:basedOn w:val="Normal"/>
    <w:link w:val="Balk2Char"/>
    <w:uiPriority w:val="9"/>
    <w:qFormat/>
    <w:rsid w:val="00EA45C3"/>
    <w:pPr>
      <w:spacing w:before="100" w:beforeAutospacing="1" w:after="100" w:afterAutospacing="1"/>
      <w:outlineLvl w:val="1"/>
    </w:pPr>
    <w:rPr>
      <w:rFonts w:eastAsia="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AA9"/>
    <w:pPr>
      <w:spacing w:before="100" w:beforeAutospacing="1" w:after="100" w:afterAutospacing="1"/>
    </w:pPr>
    <w:rPr>
      <w:rFonts w:eastAsia="Times New Roman"/>
    </w:rPr>
  </w:style>
  <w:style w:type="character" w:styleId="Gl">
    <w:name w:val="Strong"/>
    <w:basedOn w:val="VarsaylanParagrafYazTipi"/>
    <w:uiPriority w:val="22"/>
    <w:qFormat/>
    <w:rsid w:val="00641AA9"/>
    <w:rPr>
      <w:b/>
      <w:bCs/>
    </w:rPr>
  </w:style>
  <w:style w:type="character" w:customStyle="1" w:styleId="Balk1Char">
    <w:name w:val="Başlık 1 Char"/>
    <w:basedOn w:val="VarsaylanParagrafYazTipi"/>
    <w:link w:val="Balk1"/>
    <w:uiPriority w:val="9"/>
    <w:rsid w:val="00EA45C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A45C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A4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8682">
      <w:bodyDiv w:val="1"/>
      <w:marLeft w:val="0"/>
      <w:marRight w:val="0"/>
      <w:marTop w:val="0"/>
      <w:marBottom w:val="0"/>
      <w:divBdr>
        <w:top w:val="none" w:sz="0" w:space="0" w:color="auto"/>
        <w:left w:val="none" w:sz="0" w:space="0" w:color="auto"/>
        <w:bottom w:val="none" w:sz="0" w:space="0" w:color="auto"/>
        <w:right w:val="none" w:sz="0" w:space="0" w:color="auto"/>
      </w:divBdr>
    </w:div>
    <w:div w:id="486357474">
      <w:bodyDiv w:val="1"/>
      <w:marLeft w:val="0"/>
      <w:marRight w:val="0"/>
      <w:marTop w:val="0"/>
      <w:marBottom w:val="0"/>
      <w:divBdr>
        <w:top w:val="none" w:sz="0" w:space="0" w:color="auto"/>
        <w:left w:val="none" w:sz="0" w:space="0" w:color="auto"/>
        <w:bottom w:val="none" w:sz="0" w:space="0" w:color="auto"/>
        <w:right w:val="none" w:sz="0" w:space="0" w:color="auto"/>
      </w:divBdr>
    </w:div>
    <w:div w:id="1008554995">
      <w:bodyDiv w:val="1"/>
      <w:marLeft w:val="0"/>
      <w:marRight w:val="0"/>
      <w:marTop w:val="0"/>
      <w:marBottom w:val="0"/>
      <w:divBdr>
        <w:top w:val="none" w:sz="0" w:space="0" w:color="auto"/>
        <w:left w:val="none" w:sz="0" w:space="0" w:color="auto"/>
        <w:bottom w:val="none" w:sz="0" w:space="0" w:color="auto"/>
        <w:right w:val="none" w:sz="0" w:space="0" w:color="auto"/>
      </w:divBdr>
    </w:div>
    <w:div w:id="1969896783">
      <w:bodyDiv w:val="1"/>
      <w:marLeft w:val="0"/>
      <w:marRight w:val="0"/>
      <w:marTop w:val="0"/>
      <w:marBottom w:val="0"/>
      <w:divBdr>
        <w:top w:val="none" w:sz="0" w:space="0" w:color="auto"/>
        <w:left w:val="none" w:sz="0" w:space="0" w:color="auto"/>
        <w:bottom w:val="none" w:sz="0" w:space="0" w:color="auto"/>
        <w:right w:val="none" w:sz="0" w:space="0" w:color="auto"/>
      </w:divBdr>
      <w:divsChild>
        <w:div w:id="92475908">
          <w:marLeft w:val="0"/>
          <w:marRight w:val="0"/>
          <w:marTop w:val="0"/>
          <w:marBottom w:val="300"/>
          <w:divBdr>
            <w:top w:val="single" w:sz="6" w:space="19" w:color="E4E9F2"/>
            <w:left w:val="none" w:sz="0" w:space="26" w:color="auto"/>
            <w:bottom w:val="single" w:sz="6" w:space="19" w:color="E4E9F2"/>
            <w:right w:val="none" w:sz="0" w:space="26" w:color="auto"/>
          </w:divBdr>
          <w:divsChild>
            <w:div w:id="228076487">
              <w:marLeft w:val="0"/>
              <w:marRight w:val="0"/>
              <w:marTop w:val="0"/>
              <w:marBottom w:val="0"/>
              <w:divBdr>
                <w:top w:val="none" w:sz="0" w:space="0" w:color="auto"/>
                <w:left w:val="none" w:sz="0" w:space="0" w:color="auto"/>
                <w:bottom w:val="none" w:sz="0" w:space="0" w:color="auto"/>
                <w:right w:val="none" w:sz="0" w:space="0" w:color="auto"/>
              </w:divBdr>
              <w:divsChild>
                <w:div w:id="1984658778">
                  <w:marLeft w:val="0"/>
                  <w:marRight w:val="0"/>
                  <w:marTop w:val="0"/>
                  <w:marBottom w:val="0"/>
                  <w:divBdr>
                    <w:top w:val="none" w:sz="0" w:space="0" w:color="auto"/>
                    <w:left w:val="none" w:sz="0" w:space="0" w:color="auto"/>
                    <w:bottom w:val="none" w:sz="0" w:space="0" w:color="auto"/>
                    <w:right w:val="none" w:sz="0" w:space="0" w:color="auto"/>
                  </w:divBdr>
                  <w:divsChild>
                    <w:div w:id="753354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2990162">
          <w:marLeft w:val="0"/>
          <w:marRight w:val="0"/>
          <w:marTop w:val="0"/>
          <w:marBottom w:val="0"/>
          <w:divBdr>
            <w:top w:val="none" w:sz="0" w:space="0" w:color="auto"/>
            <w:left w:val="none" w:sz="0" w:space="0" w:color="auto"/>
            <w:bottom w:val="none" w:sz="0" w:space="0" w:color="auto"/>
            <w:right w:val="none" w:sz="0" w:space="0" w:color="auto"/>
          </w:divBdr>
          <w:divsChild>
            <w:div w:id="219831206">
              <w:marLeft w:val="0"/>
              <w:marRight w:val="0"/>
              <w:marTop w:val="0"/>
              <w:marBottom w:val="0"/>
              <w:divBdr>
                <w:top w:val="none" w:sz="0" w:space="0" w:color="auto"/>
                <w:left w:val="none" w:sz="0" w:space="0" w:color="auto"/>
                <w:bottom w:val="none" w:sz="0" w:space="0" w:color="auto"/>
                <w:right w:val="none" w:sz="0" w:space="0" w:color="auto"/>
              </w:divBdr>
              <w:divsChild>
                <w:div w:id="1085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2025-08-10T15:20:00Z</dcterms:created>
  <dcterms:modified xsi:type="dcterms:W3CDTF">2025-08-12T06:37:00Z</dcterms:modified>
</cp:coreProperties>
</file>