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52" w:rsidRDefault="00665D52" w:rsidP="00665D52">
      <w:pPr>
        <w:spacing w:after="160" w:line="233" w:lineRule="atLeast"/>
        <w:rPr>
          <w:rFonts w:ascii="Calibri" w:hAnsi="Calibri" w:cs="Calibri"/>
          <w:sz w:val="22"/>
          <w:szCs w:val="22"/>
        </w:rPr>
      </w:pPr>
      <w:r>
        <w:rPr>
          <w:rFonts w:ascii="Calibri" w:hAnsi="Calibri" w:cs="Calibri"/>
          <w:b/>
          <w:bCs/>
          <w:sz w:val="22"/>
          <w:szCs w:val="22"/>
        </w:rPr>
        <w:t>Hitit 2Ç25 Bilanço Analizi</w:t>
      </w:r>
    </w:p>
    <w:p w:rsidR="00665D52" w:rsidRDefault="00665D52" w:rsidP="00665D52">
      <w:pPr>
        <w:spacing w:after="160" w:line="233" w:lineRule="atLeast"/>
        <w:rPr>
          <w:rFonts w:ascii="Calibri" w:hAnsi="Calibri" w:cs="Calibri"/>
          <w:sz w:val="22"/>
          <w:szCs w:val="22"/>
        </w:rPr>
      </w:pPr>
      <w:r>
        <w:rPr>
          <w:rFonts w:ascii="Calibri" w:hAnsi="Calibri" w:cs="Calibri"/>
          <w:sz w:val="22"/>
          <w:szCs w:val="22"/>
        </w:rPr>
        <w:t>Hitit Bilgisayar, 2025 yılının ikinci çeyreğinde güçlü büyüme ve sağlam kârlılık performansıyla havacılık ve seyahat teknolojileri sektöründeki konumunu güçlendiren bir finansal performans sergilemiştir. Nitekim şirketin net satış gelirleri, bir önceki yılın aynı dönemine göre %31'lik kayda değer bir artışla 19,8 milyon dolara ulaşmıştır. Bu büyüme, hem mevcut partnerlerin iş hacimlerindeki artıştan hem de yeni müşteri kazanımlarından kaynaklanmaktadır. Fonksiyonel para birimi olarak ABD Doları bazında raporlama yapılması, şirketin uluslararası gelir ağırlığını ve döviz kuru risklerine karşı stratejik korunma yaklaşımını ortaya koymaktadır.</w:t>
      </w:r>
    </w:p>
    <w:p w:rsidR="00665D52" w:rsidRDefault="00665D52" w:rsidP="00665D52">
      <w:pPr>
        <w:spacing w:after="160" w:line="233" w:lineRule="atLeast"/>
        <w:rPr>
          <w:rFonts w:ascii="Calibri" w:hAnsi="Calibri" w:cs="Calibri"/>
          <w:sz w:val="22"/>
          <w:szCs w:val="22"/>
        </w:rPr>
      </w:pPr>
      <w:r>
        <w:rPr>
          <w:rFonts w:ascii="Calibri" w:hAnsi="Calibri" w:cs="Calibri"/>
          <w:sz w:val="22"/>
          <w:szCs w:val="22"/>
        </w:rPr>
        <w:t>Finansal yapıya bakıldığında, gelirlerin %77'sinin döviz bazında, %23'ünün ise TL bazında olması döviz kurlarındaki dalgalanmaların etkisini sınırlamaktadır. Coğrafi dağılımda ise gelirlerinin %60’ı yurt dışından elde edilmektedir. 2025 yılının ilk yarısında Hitit’in toplam gelirleri, 2024 aynı dönemine kıyasla %31 artarak 15,16 milyon USD’den 19,81 milyon USD’ye yükselmiştir. Büyümenin ana motoru, tekrarlayan gelir yapısı ve yüksek marj potansiyeli ile öne çıkan SaaS segmenti olmuştur. SaaS gelirleri %40 artışla 9,51 milyon USD’den 13,32 milyon USD’ye çıkarak toplam gelirler içindeki payını %63’ten %67’ye yükseltmiştir. Yazılım geliştirme ve bakım gelirleri ise %28 artışla 3,71 milyon USD’den 4,77 milyon USD’ye ulaşmış, toplam gelirler içindeki payı %24 seviyesinde sabit kalmıştır. Buna karşılık, proje bazlı ve daha döngüsel gelir yapısına sahip olan IaaS ve proje gelirleri %11 gerileyerek 1,93 milyon USD’den 1,72 milyon USD’ye düşmüş, cirodaki payı %13’ten %9’a gerilemiştir</w:t>
      </w:r>
    </w:p>
    <w:p w:rsidR="00665D52" w:rsidRDefault="00665D52" w:rsidP="00665D52">
      <w:pPr>
        <w:spacing w:after="160" w:line="233" w:lineRule="atLeast"/>
        <w:rPr>
          <w:rFonts w:ascii="Calibri" w:hAnsi="Calibri" w:cs="Calibri"/>
          <w:sz w:val="22"/>
          <w:szCs w:val="22"/>
        </w:rPr>
      </w:pPr>
      <w:r>
        <w:rPr>
          <w:rFonts w:ascii="Calibri" w:hAnsi="Calibri" w:cs="Calibri"/>
          <w:sz w:val="22"/>
          <w:szCs w:val="22"/>
        </w:rPr>
        <w:t>USD bilanço dahlinde majör kalemlerin hemen hepsinde olumlu sinyaller yakmaya devam eden HTTBT, satışların yanı sıra brüt kar tarafında da geçtiğimiz yılın aynı döneminde kıyasla dolar bazlı %39 bir önceki çeyreğe göre ise %18’lik bir artış kaydetmiştir. 2.Çeyrek itibariyle 9.6 milyon dolar brüt kar elde eden şirket, 7.9 milyon dolar FAVÖK üretmiştir. Marj tarafında brüt kâr marjı bir önceki yıla göre 4 puanlık bir artışla %49'a yükselmiştir. Ancak, FAVÖK marjı 2024'ün aynı dönemine göre 1 puanlık hafif bir düşüşle %40 olarak gerçekleşmiştir. Net kâr marjı ise %27 olmuştur. Şirketin 30 Haziran 2025 itibarıyla 5,9 milyon dolarlık net nakit pozisyonu bulunmaktadır.</w:t>
      </w:r>
    </w:p>
    <w:p w:rsidR="00665D52" w:rsidRDefault="00665D52" w:rsidP="00665D52">
      <w:pPr>
        <w:spacing w:after="160" w:line="233" w:lineRule="atLeast"/>
        <w:rPr>
          <w:rFonts w:ascii="Calibri" w:hAnsi="Calibri" w:cs="Calibri"/>
          <w:sz w:val="22"/>
          <w:szCs w:val="22"/>
        </w:rPr>
      </w:pPr>
      <w:r>
        <w:rPr>
          <w:rFonts w:ascii="Calibri" w:hAnsi="Calibri" w:cs="Calibri"/>
          <w:b/>
          <w:bCs/>
          <w:sz w:val="22"/>
          <w:szCs w:val="22"/>
        </w:rPr>
        <w:t>Kritik Gelişmeler ve Stratejik Atılımlar</w:t>
      </w:r>
    </w:p>
    <w:p w:rsidR="00665D52" w:rsidRDefault="00665D52" w:rsidP="00665D52">
      <w:pPr>
        <w:numPr>
          <w:ilvl w:val="0"/>
          <w:numId w:val="1"/>
        </w:numPr>
        <w:spacing w:after="160" w:line="233" w:lineRule="atLeast"/>
        <w:rPr>
          <w:rFonts w:ascii="Calibri" w:eastAsia="Times New Roman" w:hAnsi="Calibri" w:cs="Calibri"/>
          <w:sz w:val="22"/>
          <w:szCs w:val="22"/>
        </w:rPr>
      </w:pPr>
      <w:r>
        <w:rPr>
          <w:rFonts w:ascii="Calibri" w:eastAsia="Times New Roman" w:hAnsi="Calibri" w:cs="Calibri"/>
          <w:sz w:val="22"/>
          <w:szCs w:val="22"/>
        </w:rPr>
        <w:t>2Ç25’te 3 yeni kurulum projesi tamamlanmış, 9 partner projesi ise devam etmektedir.</w:t>
      </w:r>
    </w:p>
    <w:p w:rsidR="00665D52" w:rsidRDefault="00665D52" w:rsidP="00665D52">
      <w:pPr>
        <w:numPr>
          <w:ilvl w:val="0"/>
          <w:numId w:val="1"/>
        </w:numPr>
        <w:spacing w:after="160" w:line="233" w:lineRule="atLeast"/>
        <w:rPr>
          <w:rFonts w:ascii="Calibri" w:eastAsia="Times New Roman" w:hAnsi="Calibri" w:cs="Calibri"/>
          <w:sz w:val="22"/>
          <w:szCs w:val="22"/>
        </w:rPr>
      </w:pPr>
      <w:r>
        <w:rPr>
          <w:rFonts w:ascii="Calibri" w:eastAsia="Times New Roman" w:hAnsi="Calibri" w:cs="Calibri"/>
          <w:sz w:val="22"/>
          <w:szCs w:val="22"/>
        </w:rPr>
        <w:t>2025 yılında 8,7 milyon dolarlık Ar-Ge yatırımı ve 1,6 milyon dolarlık lisans/donanım yatırımı yapılmıştır. Bu yatırımların orta ve uzun vadede maliyetleri optimize etmesi ve yeni gelir kapıları açarak kârlılığa olumlu yansıması beklenmektedir.</w:t>
      </w:r>
    </w:p>
    <w:p w:rsidR="00665D52" w:rsidRDefault="00665D52" w:rsidP="00665D52">
      <w:pPr>
        <w:numPr>
          <w:ilvl w:val="0"/>
          <w:numId w:val="1"/>
        </w:numPr>
        <w:spacing w:after="160" w:line="233" w:lineRule="atLeast"/>
        <w:rPr>
          <w:rFonts w:ascii="Calibri" w:eastAsia="Times New Roman" w:hAnsi="Calibri" w:cs="Calibri"/>
          <w:sz w:val="22"/>
          <w:szCs w:val="22"/>
        </w:rPr>
      </w:pPr>
      <w:r>
        <w:rPr>
          <w:rFonts w:ascii="Calibri" w:eastAsia="Times New Roman" w:hAnsi="Calibri" w:cs="Calibri"/>
          <w:sz w:val="22"/>
          <w:szCs w:val="22"/>
        </w:rPr>
        <w:t>IATA’nın ARM Endeksi’nde lider konumunu sürdüren Hitit, “Hitit Oxygen” adlı yeni nesil OOMS (Order and Offer Management System) çözümünü piyasaya sürmüştür. İlk yılında 12 milyondan fazla yolcuya hizmet vermesi hedeflenen bu çözüm, şirketin pazar payını genişletme ve gelirlerini çeşitlendirme potansiyeli taşımaktadır. Ayrıca Hitit Oxygen’ın, dünyanın canlı kullanıma geçmiş en geniş kapsamlı OOMS çözümü olarak küresel sektör lideri olduğu belirtilmiştir.</w:t>
      </w:r>
    </w:p>
    <w:p w:rsidR="00665D52" w:rsidRDefault="00665D52" w:rsidP="00665D52">
      <w:pPr>
        <w:numPr>
          <w:ilvl w:val="0"/>
          <w:numId w:val="1"/>
        </w:numPr>
        <w:spacing w:after="160" w:line="233" w:lineRule="atLeast"/>
        <w:rPr>
          <w:rFonts w:ascii="Calibri" w:eastAsia="Times New Roman" w:hAnsi="Calibri" w:cs="Calibri"/>
          <w:sz w:val="22"/>
          <w:szCs w:val="22"/>
        </w:rPr>
      </w:pPr>
      <w:r>
        <w:rPr>
          <w:rFonts w:ascii="Calibri" w:eastAsia="Times New Roman" w:hAnsi="Calibri" w:cs="Calibri"/>
          <w:sz w:val="22"/>
          <w:szCs w:val="22"/>
        </w:rPr>
        <w:t>Hitit Ödeme Hizmetleri Platformu’nun (HPO) ilk aşaması için yazılım geliştirme süreçleri tamamlanmış olup, ikinci çeyrek sonu itibarıyla kullanıcı testleri yürütülmektedir.</w:t>
      </w:r>
    </w:p>
    <w:p w:rsidR="00665D52" w:rsidRDefault="00665D52" w:rsidP="00665D52">
      <w:pPr>
        <w:spacing w:after="160" w:line="233" w:lineRule="atLeast"/>
        <w:rPr>
          <w:rFonts w:eastAsia="Times New Roman"/>
        </w:rPr>
      </w:pPr>
      <w:r>
        <w:rPr>
          <w:rFonts w:ascii="Calibri" w:hAnsi="Calibri" w:cs="Calibri"/>
          <w:b/>
          <w:bCs/>
          <w:sz w:val="22"/>
          <w:szCs w:val="22"/>
        </w:rPr>
        <w:t>Gelecek Beklentileri ve Katalistler</w:t>
      </w:r>
      <w:r>
        <w:rPr>
          <w:rFonts w:ascii="Calibri" w:hAnsi="Calibri" w:cs="Calibri"/>
          <w:sz w:val="22"/>
          <w:szCs w:val="22"/>
        </w:rPr>
        <w:br/>
        <w:t>Hitit, 2025 yıl sonu için ciroda %33-38, FAVÖK marjında %43-48 ve net kâr marjında %25-30 aralığında büyüme hedeflemektedir. Küresel seyahat endüstrisindeki toparlanma ve dijital dönüşüm trendi, şirketin büyümesi için önemli dışsal katalistlerdir. Yeni partner kazanımları, yeni nesil ürünlerin (OOMS, HPO) yaygınlaşması ve Ar-Ge yatırımlarının geri dönüşü, hedeflere ulaşmada kritik içsel katalistler olacaktır.</w:t>
      </w:r>
      <w:bookmarkStart w:id="0" w:name="_GoBack"/>
      <w:bookmarkEnd w:id="0"/>
      <w:r>
        <w:rPr>
          <w:rFonts w:eastAsia="Times New Roman"/>
        </w:rPr>
        <w:t xml:space="preserve"> </w:t>
      </w:r>
    </w:p>
    <w:p w:rsidR="00376999" w:rsidRPr="00665D52" w:rsidRDefault="00376999" w:rsidP="00665D52"/>
    <w:sectPr w:rsidR="00376999" w:rsidRPr="00665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1490E"/>
    <w:multiLevelType w:val="multilevel"/>
    <w:tmpl w:val="AF4A2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A9"/>
    <w:rsid w:val="002D4617"/>
    <w:rsid w:val="00376999"/>
    <w:rsid w:val="00605F2F"/>
    <w:rsid w:val="00641AA9"/>
    <w:rsid w:val="00665D52"/>
    <w:rsid w:val="00CC2001"/>
    <w:rsid w:val="00EA4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B7CF9-F06F-4988-BF27-BB1D255C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17"/>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EA45C3"/>
    <w:pPr>
      <w:spacing w:before="100" w:beforeAutospacing="1" w:after="100" w:afterAutospacing="1"/>
      <w:outlineLvl w:val="0"/>
    </w:pPr>
    <w:rPr>
      <w:rFonts w:eastAsia="Times New Roman"/>
      <w:b/>
      <w:bCs/>
      <w:kern w:val="36"/>
      <w:sz w:val="48"/>
      <w:szCs w:val="48"/>
    </w:rPr>
  </w:style>
  <w:style w:type="paragraph" w:styleId="Balk2">
    <w:name w:val="heading 2"/>
    <w:basedOn w:val="Normal"/>
    <w:link w:val="Balk2Char"/>
    <w:uiPriority w:val="9"/>
    <w:qFormat/>
    <w:rsid w:val="00EA45C3"/>
    <w:pPr>
      <w:spacing w:before="100" w:beforeAutospacing="1" w:after="100" w:afterAutospacing="1"/>
      <w:outlineLvl w:val="1"/>
    </w:pPr>
    <w:rPr>
      <w:rFonts w:eastAsia="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1AA9"/>
    <w:pPr>
      <w:spacing w:before="100" w:beforeAutospacing="1" w:after="100" w:afterAutospacing="1"/>
    </w:pPr>
    <w:rPr>
      <w:rFonts w:eastAsia="Times New Roman"/>
    </w:rPr>
  </w:style>
  <w:style w:type="character" w:styleId="Gl">
    <w:name w:val="Strong"/>
    <w:basedOn w:val="VarsaylanParagrafYazTipi"/>
    <w:uiPriority w:val="22"/>
    <w:qFormat/>
    <w:rsid w:val="00641AA9"/>
    <w:rPr>
      <w:b/>
      <w:bCs/>
    </w:rPr>
  </w:style>
  <w:style w:type="character" w:customStyle="1" w:styleId="Balk1Char">
    <w:name w:val="Başlık 1 Char"/>
    <w:basedOn w:val="VarsaylanParagrafYazTipi"/>
    <w:link w:val="Balk1"/>
    <w:uiPriority w:val="9"/>
    <w:rsid w:val="00EA45C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A45C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A4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8682">
      <w:bodyDiv w:val="1"/>
      <w:marLeft w:val="0"/>
      <w:marRight w:val="0"/>
      <w:marTop w:val="0"/>
      <w:marBottom w:val="0"/>
      <w:divBdr>
        <w:top w:val="none" w:sz="0" w:space="0" w:color="auto"/>
        <w:left w:val="none" w:sz="0" w:space="0" w:color="auto"/>
        <w:bottom w:val="none" w:sz="0" w:space="0" w:color="auto"/>
        <w:right w:val="none" w:sz="0" w:space="0" w:color="auto"/>
      </w:divBdr>
    </w:div>
    <w:div w:id="486357474">
      <w:bodyDiv w:val="1"/>
      <w:marLeft w:val="0"/>
      <w:marRight w:val="0"/>
      <w:marTop w:val="0"/>
      <w:marBottom w:val="0"/>
      <w:divBdr>
        <w:top w:val="none" w:sz="0" w:space="0" w:color="auto"/>
        <w:left w:val="none" w:sz="0" w:space="0" w:color="auto"/>
        <w:bottom w:val="none" w:sz="0" w:space="0" w:color="auto"/>
        <w:right w:val="none" w:sz="0" w:space="0" w:color="auto"/>
      </w:divBdr>
    </w:div>
    <w:div w:id="1008554995">
      <w:bodyDiv w:val="1"/>
      <w:marLeft w:val="0"/>
      <w:marRight w:val="0"/>
      <w:marTop w:val="0"/>
      <w:marBottom w:val="0"/>
      <w:divBdr>
        <w:top w:val="none" w:sz="0" w:space="0" w:color="auto"/>
        <w:left w:val="none" w:sz="0" w:space="0" w:color="auto"/>
        <w:bottom w:val="none" w:sz="0" w:space="0" w:color="auto"/>
        <w:right w:val="none" w:sz="0" w:space="0" w:color="auto"/>
      </w:divBdr>
    </w:div>
    <w:div w:id="1969896783">
      <w:bodyDiv w:val="1"/>
      <w:marLeft w:val="0"/>
      <w:marRight w:val="0"/>
      <w:marTop w:val="0"/>
      <w:marBottom w:val="0"/>
      <w:divBdr>
        <w:top w:val="none" w:sz="0" w:space="0" w:color="auto"/>
        <w:left w:val="none" w:sz="0" w:space="0" w:color="auto"/>
        <w:bottom w:val="none" w:sz="0" w:space="0" w:color="auto"/>
        <w:right w:val="none" w:sz="0" w:space="0" w:color="auto"/>
      </w:divBdr>
      <w:divsChild>
        <w:div w:id="92475908">
          <w:marLeft w:val="0"/>
          <w:marRight w:val="0"/>
          <w:marTop w:val="0"/>
          <w:marBottom w:val="300"/>
          <w:divBdr>
            <w:top w:val="single" w:sz="6" w:space="19" w:color="E4E9F2"/>
            <w:left w:val="none" w:sz="0" w:space="26" w:color="auto"/>
            <w:bottom w:val="single" w:sz="6" w:space="19" w:color="E4E9F2"/>
            <w:right w:val="none" w:sz="0" w:space="26" w:color="auto"/>
          </w:divBdr>
          <w:divsChild>
            <w:div w:id="228076487">
              <w:marLeft w:val="0"/>
              <w:marRight w:val="0"/>
              <w:marTop w:val="0"/>
              <w:marBottom w:val="0"/>
              <w:divBdr>
                <w:top w:val="none" w:sz="0" w:space="0" w:color="auto"/>
                <w:left w:val="none" w:sz="0" w:space="0" w:color="auto"/>
                <w:bottom w:val="none" w:sz="0" w:space="0" w:color="auto"/>
                <w:right w:val="none" w:sz="0" w:space="0" w:color="auto"/>
              </w:divBdr>
              <w:divsChild>
                <w:div w:id="1984658778">
                  <w:marLeft w:val="0"/>
                  <w:marRight w:val="0"/>
                  <w:marTop w:val="0"/>
                  <w:marBottom w:val="0"/>
                  <w:divBdr>
                    <w:top w:val="none" w:sz="0" w:space="0" w:color="auto"/>
                    <w:left w:val="none" w:sz="0" w:space="0" w:color="auto"/>
                    <w:bottom w:val="none" w:sz="0" w:space="0" w:color="auto"/>
                    <w:right w:val="none" w:sz="0" w:space="0" w:color="auto"/>
                  </w:divBdr>
                  <w:divsChild>
                    <w:div w:id="7533543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2990162">
          <w:marLeft w:val="0"/>
          <w:marRight w:val="0"/>
          <w:marTop w:val="0"/>
          <w:marBottom w:val="0"/>
          <w:divBdr>
            <w:top w:val="none" w:sz="0" w:space="0" w:color="auto"/>
            <w:left w:val="none" w:sz="0" w:space="0" w:color="auto"/>
            <w:bottom w:val="none" w:sz="0" w:space="0" w:color="auto"/>
            <w:right w:val="none" w:sz="0" w:space="0" w:color="auto"/>
          </w:divBdr>
          <w:divsChild>
            <w:div w:id="219831206">
              <w:marLeft w:val="0"/>
              <w:marRight w:val="0"/>
              <w:marTop w:val="0"/>
              <w:marBottom w:val="0"/>
              <w:divBdr>
                <w:top w:val="none" w:sz="0" w:space="0" w:color="auto"/>
                <w:left w:val="none" w:sz="0" w:space="0" w:color="auto"/>
                <w:bottom w:val="none" w:sz="0" w:space="0" w:color="auto"/>
                <w:right w:val="none" w:sz="0" w:space="0" w:color="auto"/>
              </w:divBdr>
              <w:divsChild>
                <w:div w:id="1085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2025-08-10T15:20:00Z</dcterms:created>
  <dcterms:modified xsi:type="dcterms:W3CDTF">2025-08-12T06:38:00Z</dcterms:modified>
</cp:coreProperties>
</file>