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5BE" w:rsidRPr="004125BE" w:rsidRDefault="004125BE" w:rsidP="00412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125BE">
        <w:rPr>
          <w:rFonts w:ascii="Times New Roman" w:eastAsia="Times New Roman" w:hAnsi="Times New Roman" w:cs="Times New Roman"/>
          <w:sz w:val="24"/>
          <w:szCs w:val="24"/>
          <w:lang w:eastAsia="tr-TR"/>
        </w:rPr>
        <w:t>Arçelik’in 2026 yılına ilişkin beklentileri şu şekildedir:</w:t>
      </w:r>
    </w:p>
    <w:p w:rsidR="004125BE" w:rsidRPr="004125BE" w:rsidRDefault="004125BE" w:rsidP="004125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125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Hasılat tarafında Türkiye pazarında </w:t>
      </w:r>
      <w:r w:rsidRPr="004125B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yatay seyir</w:t>
      </w:r>
      <w:r w:rsidRPr="004125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uluslararası tarafta ise </w:t>
      </w:r>
      <w:r w:rsidRPr="004125B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düşük tek haneli büyüme</w:t>
      </w:r>
      <w:r w:rsidRPr="004125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öngörülmektedir. </w:t>
      </w:r>
    </w:p>
    <w:p w:rsidR="004125BE" w:rsidRPr="004125BE" w:rsidRDefault="004125BE" w:rsidP="004125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125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Karlılık tarafında </w:t>
      </w:r>
      <w:r w:rsidRPr="004125B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FAVÖK </w:t>
      </w:r>
      <w:proofErr w:type="gramStart"/>
      <w:r w:rsidRPr="004125B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marjının</w:t>
      </w:r>
      <w:proofErr w:type="gramEnd"/>
      <w:r w:rsidRPr="004125B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%6,25 – %6,50 bandında</w:t>
      </w:r>
      <w:r w:rsidRPr="004125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korunması beklenmektedir. </w:t>
      </w:r>
    </w:p>
    <w:p w:rsidR="004125BE" w:rsidRPr="004125BE" w:rsidRDefault="004125BE" w:rsidP="004125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125B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Net işletme sermayesi / satışlar oranı yaklaşık %22</w:t>
      </w:r>
      <w:r w:rsidRPr="004125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seviyesinde hedeflenmektedir (</w:t>
      </w:r>
      <w:proofErr w:type="spellStart"/>
      <w:r w:rsidRPr="004125BE">
        <w:rPr>
          <w:rFonts w:ascii="Times New Roman" w:eastAsia="Times New Roman" w:hAnsi="Times New Roman" w:cs="Times New Roman"/>
          <w:sz w:val="24"/>
          <w:szCs w:val="24"/>
          <w:lang w:eastAsia="tr-TR"/>
        </w:rPr>
        <w:t>operasyonel</w:t>
      </w:r>
      <w:proofErr w:type="spellEnd"/>
      <w:r w:rsidRPr="004125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verimlilik korunuyor). </w:t>
      </w:r>
    </w:p>
    <w:p w:rsidR="004125BE" w:rsidRPr="004125BE" w:rsidRDefault="004125BE" w:rsidP="004125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125B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Yatırım harcamalarının yaklaşık 250 milyon EUR</w:t>
      </w:r>
      <w:r w:rsidRPr="004125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seviyesinde gerçekleşmesi planlanmaktadır (büyüme ve kapasite yatırımları devam ediyor). </w:t>
      </w:r>
    </w:p>
    <w:p w:rsidR="004125BE" w:rsidRPr="004125BE" w:rsidRDefault="004125BE" w:rsidP="00412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125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Özetle; 2026 yılında Arçelik için ana tema </w:t>
      </w:r>
      <w:r w:rsidRPr="004125B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sınırlı büyüme,</w:t>
      </w:r>
      <w:bookmarkStart w:id="0" w:name="_GoBack"/>
      <w:bookmarkEnd w:id="0"/>
      <w:r w:rsidRPr="004125B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gramStart"/>
      <w:r w:rsidRPr="004125B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stabil</w:t>
      </w:r>
      <w:proofErr w:type="gramEnd"/>
      <w:r w:rsidRPr="004125B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marj ve kontrollü yatırım politikası</w:t>
      </w:r>
      <w:r w:rsidRPr="004125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olarak öne çıkmaktadır.</w:t>
      </w:r>
    </w:p>
    <w:p w:rsidR="00407D7C" w:rsidRDefault="004125BE">
      <w:r>
        <w:rPr>
          <w:noProof/>
          <w:lang w:eastAsia="tr-TR"/>
        </w:rPr>
        <w:drawing>
          <wp:inline distT="0" distB="0" distL="0" distR="0" wp14:anchorId="39F4B14A" wp14:editId="037FF8D7">
            <wp:extent cx="5760720" cy="3230070"/>
            <wp:effectExtent l="0" t="0" r="0" b="889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07D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706C0"/>
    <w:multiLevelType w:val="multilevel"/>
    <w:tmpl w:val="6D001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85"/>
    <w:rsid w:val="00407D7C"/>
    <w:rsid w:val="004125BE"/>
    <w:rsid w:val="0074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2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125BE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12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125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2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125BE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12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125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3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FARUK ÖZTÜRK</dc:creator>
  <cp:keywords/>
  <dc:description/>
  <cp:lastModifiedBy>ÖMER FARUK ÖZTÜRK</cp:lastModifiedBy>
  <cp:revision>3</cp:revision>
  <dcterms:created xsi:type="dcterms:W3CDTF">2026-04-22T20:16:00Z</dcterms:created>
  <dcterms:modified xsi:type="dcterms:W3CDTF">2026-04-22T20:17:00Z</dcterms:modified>
</cp:coreProperties>
</file>