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EC6" w:rsidRDefault="00765EC6" w:rsidP="00765EC6">
      <w:pPr>
        <w:pStyle w:val="NormalWeb"/>
      </w:pPr>
      <w:r>
        <w:rPr>
          <w:rStyle w:val="Gl"/>
        </w:rPr>
        <w:t>Türk lirası cinsinden yapılan Bireysel Emeklilik Sistemi katkı payı ödemelerinde devlet katkısı oranı yüzde 20 olarak belirlendi.</w:t>
      </w:r>
    </w:p>
    <w:p w:rsidR="00765EC6" w:rsidRDefault="00765EC6" w:rsidP="00765EC6">
      <w:pPr>
        <w:pStyle w:val="NormalWeb"/>
      </w:pPr>
      <w:r>
        <w:t xml:space="preserve">Cumhurbaşkanı Recep Tayyip Erdoğan imzasıyla "Bireysel Emeklilik Tasarruf ve Yatırım Sisteminde Türk Parası Cinsinden Yapılan Katkı Payı Ödemeleri İçin Devlet katkısı Oranının ve Cayma Hakkının Kullanılmaması Halinde Sağlanan İlave Devlet Katkısı Tutarının Yeniden Belirlenmesine Dair Karar" Resmi </w:t>
      </w:r>
      <w:proofErr w:type="spellStart"/>
      <w:r>
        <w:t>Gazete'de</w:t>
      </w:r>
      <w:proofErr w:type="spellEnd"/>
      <w:r>
        <w:t xml:space="preserve"> yayımlandı. Karara göre, Bireysel Emeklilik Sistemi'nde (BES) Türk parası cinsinden yapılan katkı payı ödemeleri için devlet katkısı oranı yüzde 20 olarak belirlendi. Bu oran yüzde 30 seviyesindeydi. İşveren tarafından ödenen katkı payları bu hesaplamanın dışında tutulurken, cayma hakkını kullanmayan katılımcılara sağlanan ilave devlet katkısı tutarı ise 500 TL oldu. Bu karar, 1 Ocak 2026 tarihinden itibaren geçerli olmak üzere yayımı tarihinde yürürlüğe girecek ve hükümleri Hazine ve Maliye Bakanlığı tarafından yürütülecek</w:t>
      </w:r>
      <w:r>
        <w:rPr>
          <w:rStyle w:val="Gl"/>
        </w:rPr>
        <w:t>.</w:t>
      </w:r>
    </w:p>
    <w:p w:rsidR="00765EC6" w:rsidRDefault="00765EC6" w:rsidP="00765EC6">
      <w:pPr>
        <w:pStyle w:val="NormalWeb"/>
      </w:pPr>
      <w:r>
        <w:rPr>
          <w:rStyle w:val="Gl"/>
        </w:rPr>
        <w:t>Düşüncemiz:</w:t>
      </w:r>
    </w:p>
    <w:p w:rsidR="00765EC6" w:rsidRDefault="00765EC6" w:rsidP="00765EC6">
      <w:pPr>
        <w:pStyle w:val="NormalWeb"/>
      </w:pPr>
      <w:r>
        <w:rPr>
          <w:rStyle w:val="Vurgu"/>
        </w:rPr>
        <w:t xml:space="preserve">Bireysel Emeklilik Sistemi (BES) katkı payı ödemelerinde devlet katkısı oranının %20 seviyesine çekilmesi, tahakkuk eden </w:t>
      </w:r>
      <w:proofErr w:type="gramStart"/>
      <w:r>
        <w:rPr>
          <w:rStyle w:val="Vurgu"/>
        </w:rPr>
        <w:t>nominal</w:t>
      </w:r>
      <w:proofErr w:type="gramEnd"/>
      <w:r>
        <w:rPr>
          <w:rStyle w:val="Vurgu"/>
        </w:rPr>
        <w:t xml:space="preserve"> devlet katkısı alacaklarında bir azalışa ve teşvik girişlerinin zayıflaması nedeniyle fon büyüme hızının bir miktar yavaşlamasına yol açacaktır. Ancak, mevcut fon büyüklükleri ve sistemin ulaştığı derinlik dikkate alındığında, bu durumun finansal sonuçlar üzerinde önemli bir etki yaratmasını beklenmemekteyiz. </w:t>
      </w:r>
      <w:proofErr w:type="gramStart"/>
      <w:r>
        <w:rPr>
          <w:rStyle w:val="Vurgu"/>
        </w:rPr>
        <w:t>Halihazırda</w:t>
      </w:r>
      <w:proofErr w:type="gramEnd"/>
      <w:r>
        <w:rPr>
          <w:rStyle w:val="Vurgu"/>
        </w:rPr>
        <w:t xml:space="preserve">, 2026 yılı için ana senaryomuz faiz indirim döngüsünün kredi hacmini genişletmesi ve kârlılığı yüksek olan kredi bağlantılı hayat sigortası primlerinde artış gerçekleşmesi yönünde. Hayat sigortası primlerinde artışın emeklilik tarafındaki bu etkiyi dengeleyeceğini düşünüyoruz. Keza daha öncede değindiğimiz gibi konuya daha geniş bir perspektiften bakıldığında; bu </w:t>
      </w:r>
      <w:proofErr w:type="gramStart"/>
      <w:r>
        <w:rPr>
          <w:rStyle w:val="Vurgu"/>
        </w:rPr>
        <w:t>hamle</w:t>
      </w:r>
      <w:proofErr w:type="gramEnd"/>
      <w:r>
        <w:rPr>
          <w:rStyle w:val="Vurgu"/>
        </w:rPr>
        <w:t xml:space="preserve">, 2026'nın ikinci çeyreğinde hayata geçirilmesi planlanan Tamamlayıcı Emeklilik Sistemi (TES) sürecine yönelik stratejik bir hazırlık olarak da yorumlanabilir. </w:t>
      </w:r>
      <w:proofErr w:type="spellStart"/>
      <w:r>
        <w:rPr>
          <w:rStyle w:val="Vurgu"/>
        </w:rPr>
        <w:t>TES’e</w:t>
      </w:r>
      <w:proofErr w:type="spellEnd"/>
      <w:r>
        <w:rPr>
          <w:rStyle w:val="Vurgu"/>
        </w:rPr>
        <w:t xml:space="preserve"> yönelik hazırlık süreci de dikkate alındığında, sektörü ve sektör oyuncularını uzun vadede ciddi anlamda avantajlı görür konumumuzda herhangi bir değişiklik olmadığını önemle belirtmek isteriz.</w:t>
      </w:r>
    </w:p>
    <w:p w:rsidR="00BE1086" w:rsidRDefault="00BE1086">
      <w:bookmarkStart w:id="0" w:name="_GoBack"/>
      <w:bookmarkEnd w:id="0"/>
    </w:p>
    <w:sectPr w:rsidR="00BE10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05C"/>
    <w:rsid w:val="004A705C"/>
    <w:rsid w:val="00765EC6"/>
    <w:rsid w:val="00BE10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65E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65EC6"/>
    <w:rPr>
      <w:b/>
      <w:bCs/>
    </w:rPr>
  </w:style>
  <w:style w:type="character" w:styleId="Vurgu">
    <w:name w:val="Emphasis"/>
    <w:basedOn w:val="VarsaylanParagrafYazTipi"/>
    <w:uiPriority w:val="20"/>
    <w:qFormat/>
    <w:rsid w:val="00765EC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65E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65EC6"/>
    <w:rPr>
      <w:b/>
      <w:bCs/>
    </w:rPr>
  </w:style>
  <w:style w:type="character" w:styleId="Vurgu">
    <w:name w:val="Emphasis"/>
    <w:basedOn w:val="VarsaylanParagrafYazTipi"/>
    <w:uiPriority w:val="20"/>
    <w:qFormat/>
    <w:rsid w:val="00765E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3</cp:revision>
  <dcterms:created xsi:type="dcterms:W3CDTF">2026-01-07T06:19:00Z</dcterms:created>
  <dcterms:modified xsi:type="dcterms:W3CDTF">2026-01-07T06:20:00Z</dcterms:modified>
</cp:coreProperties>
</file>