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78" w:rsidRDefault="00552A78" w:rsidP="00552A78">
      <w:bookmarkStart w:id="0" w:name="_GoBack"/>
      <w:bookmarkEnd w:id="0"/>
      <w:r>
        <w:t xml:space="preserve">Genel değerlendirme: Mevcut durumda, Aselsan için 12-aylık hedef fiyatımız 62,20 TL, önerimiz AL yönünde. Hisse, </w:t>
      </w:r>
      <w:proofErr w:type="gramStart"/>
      <w:r>
        <w:t>yıl başından</w:t>
      </w:r>
      <w:proofErr w:type="gramEnd"/>
      <w:r>
        <w:t xml:space="preserve"> itibaren BIST 100 endekse paralel performans göstermiştir. Geriye dönük 12 aylık verilere göre hisse 33,2x F/K ve 15,9x FD/FAVÖK çarpanlarından işlem görmektedir.</w:t>
      </w:r>
    </w:p>
    <w:p w:rsidR="00552A78" w:rsidRDefault="00552A78" w:rsidP="00552A78"/>
    <w:p w:rsidR="00552A78" w:rsidRDefault="00552A78" w:rsidP="00552A78">
      <w:proofErr w:type="spellStart"/>
      <w:r>
        <w:t>ASELS’i</w:t>
      </w:r>
      <w:proofErr w:type="spellEnd"/>
      <w:r>
        <w:t xml:space="preserve"> 17 Temmuz 2023 tarihinden bu yana, 36,49 TL ortalama maliyet ile Döngüsel Portföyümüzde taşıdığımızı ve mevcut pozisyonu ile beğenmeye devam ettiğimizi önemle hatırlatmak isteriz. Söz konusu tarihten bu yana ASELS, son kapanış rakamına göre, </w:t>
      </w:r>
      <w:proofErr w:type="gramStart"/>
      <w:r>
        <w:t>nominal</w:t>
      </w:r>
      <w:proofErr w:type="gramEnd"/>
      <w:r>
        <w:t xml:space="preserve"> bazda %45, BIST 100 endeksine göre rölatifte ise %8 düzeylerinde performans sergilemiştir.</w:t>
      </w:r>
    </w:p>
    <w:p w:rsidR="00552A78" w:rsidRDefault="00552A78" w:rsidP="00552A78"/>
    <w:p w:rsidR="00552A78" w:rsidRDefault="00552A78" w:rsidP="00552A78">
      <w:r>
        <w:t>Bununla birlikte, Ekim 2023 döneminden bu yana Bölüm olarak tüm analizlerimizde, 2024’ün öne çıkan sektör ve şirketleri arasında “savunma” ve “</w:t>
      </w:r>
      <w:proofErr w:type="spellStart"/>
      <w:r>
        <w:t>Aselsan”ı</w:t>
      </w:r>
      <w:proofErr w:type="spellEnd"/>
      <w:r>
        <w:t xml:space="preserve"> da belirtmiş ve belirtmeye de devam ediyoruz.</w:t>
      </w:r>
    </w:p>
    <w:p w:rsidR="00552A78" w:rsidRDefault="00552A78" w:rsidP="00552A78"/>
    <w:p w:rsidR="00552A78" w:rsidRDefault="00552A78" w:rsidP="00552A78">
      <w:r>
        <w:t>Açıklanan sonuçların her iki raporlamaya göre artış göstermesi, Şirket’in karşılaştırılabilir tabloları yatırımcılarıyla paylaşması ve 2024 yılına yönelik beklentileri dolayısıyla açıklanan finansal sonuçların hisse performansı üzerinde olumlu bir etki yaratacağı düşüncesindeyiz.</w:t>
      </w:r>
    </w:p>
    <w:p w:rsidR="00552A78" w:rsidRDefault="00552A78" w:rsidP="00552A78"/>
    <w:p w:rsidR="00552A78" w:rsidRDefault="00552A78" w:rsidP="00552A78">
      <w:r>
        <w:t xml:space="preserve">Şirket’in 2023 yılında yeni alınan sözleşme bedeli 5 milyar </w:t>
      </w:r>
      <w:proofErr w:type="spellStart"/>
      <w:r>
        <w:t>USD’ye</w:t>
      </w:r>
      <w:proofErr w:type="spellEnd"/>
      <w:r>
        <w:t xml:space="preserve">, bakiye siparişi ise 11 milyar </w:t>
      </w:r>
      <w:proofErr w:type="spellStart"/>
      <w:r>
        <w:t>USD’ye</w:t>
      </w:r>
      <w:proofErr w:type="spellEnd"/>
      <w:r>
        <w:t xml:space="preserve"> </w:t>
      </w:r>
      <w:proofErr w:type="spellStart"/>
      <w:proofErr w:type="gramStart"/>
      <w:r>
        <w:t>ulaşmıştır.Şirket</w:t>
      </w:r>
      <w:proofErr w:type="spellEnd"/>
      <w:proofErr w:type="gramEnd"/>
      <w:r>
        <w:t>, 2023 yılını beklentilerinin üzerinde tamamlamayı başarmıştır.</w:t>
      </w:r>
    </w:p>
    <w:p w:rsidR="00552A78" w:rsidRDefault="00552A78" w:rsidP="00552A78"/>
    <w:p w:rsidR="00552A78" w:rsidRDefault="00552A78" w:rsidP="00552A78">
      <w:r>
        <w:t>Hatırlayacak olursak Şirket’in 2023 yılı beklentileri; i</w:t>
      </w:r>
      <w:proofErr w:type="gramStart"/>
      <w:r>
        <w:t>)</w:t>
      </w:r>
      <w:proofErr w:type="gramEnd"/>
      <w:r>
        <w:t xml:space="preserve"> %65 üzeri net satış geliri büyümesi ii) %24 üzeri FAVÖK marjı iii) 10 milyar TL yatırım harcaması yönündeydi. Şirket, 2023 yılında enflasyon </w:t>
      </w:r>
      <w:proofErr w:type="gramStart"/>
      <w:r>
        <w:t>muhasebesi</w:t>
      </w:r>
      <w:proofErr w:type="gramEnd"/>
      <w:r>
        <w:t xml:space="preserve"> etkisi göz ardı edildiğinde, %69 satış gelir büyümesi, %27 FAVÖK marjı ve 10 milyar TL yatırım harcaması gerçekleştirmiştir.</w:t>
      </w:r>
    </w:p>
    <w:p w:rsidR="00552A78" w:rsidRDefault="00552A78" w:rsidP="00552A78"/>
    <w:p w:rsidR="00470F6A" w:rsidRDefault="00552A78" w:rsidP="00552A78">
      <w:r>
        <w:t xml:space="preserve">Şirket’in 2024 yılına yönelik </w:t>
      </w:r>
      <w:proofErr w:type="gramStart"/>
      <w:r>
        <w:t>nominal</w:t>
      </w:r>
      <w:proofErr w:type="gramEnd"/>
      <w:r>
        <w:t xml:space="preserve"> beklentileri; i) %70 üzeri net satış geliri büyümesi ii) %26 üzeri FAVÖK marjı iii) 12 milyar TL yatırım harcaması yönünde. Bunun yanı sıra Şirket, 2024 yılına yönelik reel büyüme beklentilerini de paylaştı. Reel beklentilere göre ise 2024 yılında; i</w:t>
      </w:r>
      <w:proofErr w:type="gramStart"/>
      <w:r>
        <w:t>)</w:t>
      </w:r>
      <w:proofErr w:type="gramEnd"/>
      <w:r>
        <w:t xml:space="preserve"> %10 üzeri net satış geliri büyümesi ii) %22 üzeri FAVÖK marjı iii) 14 milyar TL yatırım harcaması gerçekleştirilmesi öngörülmektedir.</w:t>
      </w:r>
    </w:p>
    <w:sectPr w:rsidR="00470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78"/>
    <w:rsid w:val="00470F6A"/>
    <w:rsid w:val="00552A78"/>
    <w:rsid w:val="00A55A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FOREKS</dc:creator>
  <cp:lastModifiedBy>Ömer Faruk Öztürk</cp:lastModifiedBy>
  <cp:revision>2</cp:revision>
  <dcterms:created xsi:type="dcterms:W3CDTF">2024-03-27T08:24:00Z</dcterms:created>
  <dcterms:modified xsi:type="dcterms:W3CDTF">2024-03-27T08:24:00Z</dcterms:modified>
</cp:coreProperties>
</file>