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68B" w:rsidRPr="0025368B" w:rsidRDefault="0025368B" w:rsidP="0025368B">
      <w:pPr>
        <w:pStyle w:val="NormalWeb"/>
        <w:rPr>
          <w:b/>
        </w:rPr>
      </w:pPr>
      <w:r w:rsidRPr="0025368B">
        <w:rPr>
          <w:b/>
        </w:rPr>
        <w:t>Coca-Cola İçecek, 2025 yılına ilişkin satış hacmi raporunu yayımladı, aynı raporda 2026 yılına ilişkin beklentilerine de yer verdi.</w:t>
      </w:r>
    </w:p>
    <w:p w:rsidR="0025368B" w:rsidRDefault="0025368B" w:rsidP="0025368B">
      <w:pPr>
        <w:pStyle w:val="NormalWeb"/>
      </w:pPr>
      <w:r>
        <w:t xml:space="preserve">2025 yılının son çeyreğinde Şirket’in </w:t>
      </w:r>
      <w:proofErr w:type="gramStart"/>
      <w:r>
        <w:t>konsolide</w:t>
      </w:r>
      <w:proofErr w:type="gramEnd"/>
      <w:r>
        <w:t xml:space="preserve"> satış hacmi %5,4 artarken, Türkiye’de satış hacminin %3,6 oranında azaldığı gözlendi. Azalan Türkiye hacmine karşılık güçlü seyreden uluslararası operasyonları ile </w:t>
      </w:r>
      <w:proofErr w:type="gramStart"/>
      <w:r>
        <w:t>konsolide</w:t>
      </w:r>
      <w:proofErr w:type="gramEnd"/>
      <w:r>
        <w:t xml:space="preserve"> hacim desteklendi. Uluslararası operasyonların satış hacmi son çeyrekte %11,0 artış gösterdi.</w:t>
      </w:r>
      <w:bookmarkStart w:id="0" w:name="_GoBack"/>
      <w:bookmarkEnd w:id="0"/>
    </w:p>
    <w:p w:rsidR="0025368B" w:rsidRDefault="0025368B" w:rsidP="0025368B">
      <w:pPr>
        <w:pStyle w:val="NormalWeb"/>
      </w:pPr>
      <w:r>
        <w:t xml:space="preserve">2025 yılı genelinde Şirket’in </w:t>
      </w:r>
      <w:proofErr w:type="gramStart"/>
      <w:r>
        <w:t>konsolide</w:t>
      </w:r>
      <w:proofErr w:type="gramEnd"/>
      <w:r>
        <w:t xml:space="preserve"> satış hacmi yıllık bazda %8 artarken, Türkiye’nin satış hacmi %1,0 daraldı. Uluslararası hacmi ise yıllık %13,5 artış kaydetti. </w:t>
      </w:r>
      <w:r>
        <w:rPr>
          <w:u w:val="single"/>
        </w:rPr>
        <w:t xml:space="preserve">Beklentimiz, Şirket’in yurt içi operasyonlarında yıllık %5,5, yurt dışı operasyonlarında ise %7 büyüme ile </w:t>
      </w:r>
      <w:proofErr w:type="gramStart"/>
      <w:r>
        <w:rPr>
          <w:u w:val="single"/>
        </w:rPr>
        <w:t>konsolide</w:t>
      </w:r>
      <w:proofErr w:type="gramEnd"/>
      <w:r>
        <w:rPr>
          <w:u w:val="single"/>
        </w:rPr>
        <w:t xml:space="preserve"> bazda %6,1’lik büyüme kaydedeceği yönünde bulunuyordu.</w:t>
      </w:r>
      <w:r>
        <w:t xml:space="preserve"> Şirket 2026 yılı hacim beklentileri ise </w:t>
      </w:r>
      <w:proofErr w:type="gramStart"/>
      <w:r>
        <w:t>konsolide</w:t>
      </w:r>
      <w:proofErr w:type="gramEnd"/>
      <w:r>
        <w:t xml:space="preserve"> bazda orta-tek haneli büyüme, Türkiye’de düşük orta-tek haneli büyüme ve uluslararası operasyonlarda yüksek-tek haneli büyüme şeklinde açıklanmıştır.</w:t>
      </w:r>
    </w:p>
    <w:p w:rsidR="0025368B" w:rsidRDefault="0025368B" w:rsidP="0025368B">
      <w:pPr>
        <w:pStyle w:val="NormalWeb"/>
      </w:pPr>
      <w:r>
        <w:rPr>
          <w:u w:val="single"/>
        </w:rPr>
        <w:t xml:space="preserve">Türkiye satış hacminin daralmasında, Şirket’in değer odaklı stratejisi kapsamında </w:t>
      </w:r>
      <w:proofErr w:type="spellStart"/>
      <w:r>
        <w:rPr>
          <w:u w:val="single"/>
        </w:rPr>
        <w:t>önceliklendirmediği</w:t>
      </w:r>
      <w:proofErr w:type="spellEnd"/>
      <w:r>
        <w:rPr>
          <w:u w:val="single"/>
        </w:rPr>
        <w:t xml:space="preserve"> su kategorisi etkili oldu. Bilinçli olarak azaltılan su kategorisi hariç bakıldığında ise Türkiye operasyonlarında hacim </w:t>
      </w:r>
      <w:proofErr w:type="gramStart"/>
      <w:r>
        <w:rPr>
          <w:u w:val="single"/>
        </w:rPr>
        <w:t>bazlı</w:t>
      </w:r>
      <w:proofErr w:type="gramEnd"/>
      <w:r>
        <w:rPr>
          <w:u w:val="single"/>
        </w:rPr>
        <w:t xml:space="preserve"> %3,8 artış gözlendi.  Şirket’in izlediği fiyatlama ve </w:t>
      </w:r>
      <w:proofErr w:type="spellStart"/>
      <w:r>
        <w:rPr>
          <w:u w:val="single"/>
        </w:rPr>
        <w:t>iskonto</w:t>
      </w:r>
      <w:proofErr w:type="spellEnd"/>
      <w:r>
        <w:rPr>
          <w:u w:val="single"/>
        </w:rPr>
        <w:t xml:space="preserve"> yönetimi stratejileri hacim </w:t>
      </w:r>
      <w:proofErr w:type="gramStart"/>
      <w:r>
        <w:rPr>
          <w:u w:val="single"/>
        </w:rPr>
        <w:t>bazlı</w:t>
      </w:r>
      <w:proofErr w:type="gramEnd"/>
      <w:r>
        <w:rPr>
          <w:u w:val="single"/>
        </w:rPr>
        <w:t xml:space="preserve"> Uluslararası satış hacmi ise yıllık %13,5 artış kaydetti.</w:t>
      </w:r>
      <w:r>
        <w:t xml:space="preserve"> Uluslararası operasyonlar genelinde satış hacmi büyümesine Kazakistan, Özbekistan, Pakistan, Irak ve Azerbaycan yıllık </w:t>
      </w:r>
      <w:proofErr w:type="gramStart"/>
      <w:r>
        <w:t>bazda</w:t>
      </w:r>
      <w:proofErr w:type="gramEnd"/>
      <w:r>
        <w:t xml:space="preserve"> sırasıyla %15,5, %33,7, %1,3, %12,0 ve %8,1 oranlarında büyüme kaydederek olumlu katkı sağladı. Pakistan pazarında devam eden olumsuz talep koşullarına rağmen, hacimde %1,3 artış izlendi. Özbekistan ise yıllık </w:t>
      </w:r>
      <w:proofErr w:type="gramStart"/>
      <w:r>
        <w:t>bazda</w:t>
      </w:r>
      <w:proofErr w:type="gramEnd"/>
      <w:r>
        <w:t xml:space="preserve"> %33,7’lik önemli  hacim artışıyla uluslararası operasyonları destekledi.  Kategori </w:t>
      </w:r>
      <w:proofErr w:type="gramStart"/>
      <w:r>
        <w:t>bazlı</w:t>
      </w:r>
      <w:proofErr w:type="gramEnd"/>
      <w:r>
        <w:t xml:space="preserve"> incelendiğinde, gazlı içecekler kategorisi  yıllık %9,2, gazsız içecekler kategorisi ise %19,2’lik artış kaydetti. Gazsız içeceklerde kaydedilen artışta, </w:t>
      </w:r>
      <w:proofErr w:type="spellStart"/>
      <w:r>
        <w:t>Fusetea’de</w:t>
      </w:r>
      <w:proofErr w:type="spellEnd"/>
      <w:r>
        <w:t xml:space="preserve"> gerçekleşen %30,9’luk hacim artışı etkili oldu. </w:t>
      </w:r>
      <w:r>
        <w:rPr>
          <w:u w:val="single"/>
        </w:rPr>
        <w:t xml:space="preserve">Şirket, daha yüksek </w:t>
      </w:r>
      <w:proofErr w:type="gramStart"/>
      <w:r>
        <w:rPr>
          <w:u w:val="single"/>
        </w:rPr>
        <w:t>marj</w:t>
      </w:r>
      <w:proofErr w:type="gramEnd"/>
      <w:r>
        <w:rPr>
          <w:u w:val="single"/>
        </w:rPr>
        <w:t xml:space="preserve"> katkısı açısından küçük paketlerini artırma stratejisini bu dönemde yakından takip etti. Ancak talep yönlü baskı ortamı ve tüketici tercihleri doğrultusunda, 2025 yılında küçük paketlerin payı yıllık 92 </w:t>
      </w:r>
      <w:proofErr w:type="gramStart"/>
      <w:r>
        <w:rPr>
          <w:u w:val="single"/>
        </w:rPr>
        <w:t>baz</w:t>
      </w:r>
      <w:proofErr w:type="gramEnd"/>
      <w:r>
        <w:rPr>
          <w:u w:val="single"/>
        </w:rPr>
        <w:t xml:space="preserve"> puan azalışla konsolide bazda %28,3’e geriledi.  </w:t>
      </w:r>
      <w:r>
        <w:t xml:space="preserve">Şirket, 2025 yılında takip edilen zorlu talep koşullarının 2026 yılında da devam edebileceğini öngörmektedir. Bununla birlikte, Şirket stratejik önceliklerini koruyarak hacim odaklı, coğrafi </w:t>
      </w:r>
      <w:proofErr w:type="spellStart"/>
      <w:r>
        <w:t>yayılımı”n</w:t>
      </w:r>
      <w:proofErr w:type="spellEnd"/>
      <w:r>
        <w:t xml:space="preserve"> ve </w:t>
      </w:r>
      <w:proofErr w:type="spellStart"/>
      <w:r>
        <w:t>çürün</w:t>
      </w:r>
      <w:proofErr w:type="spellEnd"/>
      <w:r>
        <w:t xml:space="preserve"> çeşitliliğinin getirdiği avantajlarla birlikte disiplinli saha uygulamaları, doğru fiyatlama ve optimize edilmiş ürün karması ile etkin </w:t>
      </w:r>
      <w:proofErr w:type="spellStart"/>
      <w:r>
        <w:t>iskonto</w:t>
      </w:r>
      <w:proofErr w:type="spellEnd"/>
      <w:r>
        <w:t xml:space="preserve"> yönetimi odaklarının devam ederek değer yaratmaya devam etmeyi hedeflemektedir. Şirket’in stratejik odağına yönelik gerçekleştirdiği  Sermaye Piyasaları Gününe ilişkin değerlendirmelerimize </w:t>
      </w:r>
      <w:hyperlink r:id="rId6" w:history="1">
        <w:r>
          <w:rPr>
            <w:rStyle w:val="Kpr"/>
          </w:rPr>
          <w:t xml:space="preserve">Hisse Notu: CCOLA - Toplantı </w:t>
        </w:r>
        <w:proofErr w:type="spellStart"/>
        <w:r>
          <w:rPr>
            <w:rStyle w:val="Kpr"/>
          </w:rPr>
          <w:t>Notu</w:t>
        </w:r>
      </w:hyperlink>
      <w:r>
        <w:t>’muzda</w:t>
      </w:r>
      <w:proofErr w:type="spellEnd"/>
      <w:r>
        <w:t xml:space="preserve"> yer vermiştik.</w:t>
      </w:r>
    </w:p>
    <w:p w:rsidR="0025368B" w:rsidRDefault="0025368B" w:rsidP="0025368B">
      <w:pPr>
        <w:pStyle w:val="NormalWeb"/>
      </w:pPr>
      <w:r>
        <w:t> </w:t>
      </w:r>
    </w:p>
    <w:p w:rsidR="0025368B" w:rsidRDefault="0025368B" w:rsidP="0025368B">
      <w:pPr>
        <w:pStyle w:val="NormalWeb"/>
      </w:pPr>
      <w:r>
        <w:t> </w:t>
      </w:r>
    </w:p>
    <w:p w:rsidR="0025368B" w:rsidRDefault="0025368B" w:rsidP="0025368B">
      <w:pPr>
        <w:pStyle w:val="NormalWeb"/>
      </w:pPr>
      <w:proofErr w:type="spellStart"/>
      <w:r>
        <w:t>Coca</w:t>
      </w:r>
      <w:proofErr w:type="spellEnd"/>
      <w:r>
        <w:t xml:space="preserve"> Cola İçecek’i; Orta Asya’da devam eden büyüme adımları, ürün çeşitliliği ve faaliyet gösterdiği coğrafyalarda makroekonomik gelişmelere hızlı uyum sağlayabilen </w:t>
      </w:r>
      <w:proofErr w:type="spellStart"/>
      <w:r>
        <w:t>operasyonel</w:t>
      </w:r>
      <w:proofErr w:type="spellEnd"/>
      <w:r>
        <w:t xml:space="preserve"> yapısı, güçlü tedarik zinciri yönetimi ve maliyet kontrolü sayesinde beğeniyor ve </w:t>
      </w:r>
      <w:proofErr w:type="spellStart"/>
      <w:r>
        <w:t>operasyonel</w:t>
      </w:r>
      <w:proofErr w:type="spellEnd"/>
      <w:r>
        <w:t xml:space="preserve"> dayanıklılığını koruyacağını düşünüyoruz. </w:t>
      </w:r>
      <w:proofErr w:type="spellStart"/>
      <w:r>
        <w:t>Coca</w:t>
      </w:r>
      <w:proofErr w:type="spellEnd"/>
      <w:r>
        <w:t xml:space="preserve"> Cola İçecek’i 92,00 TL hedef fiyat ve AL önerisi ile Model </w:t>
      </w:r>
      <w:proofErr w:type="spellStart"/>
      <w:r>
        <w:t>Portföyümüz’de</w:t>
      </w:r>
      <w:proofErr w:type="spellEnd"/>
      <w:r>
        <w:t xml:space="preserve"> tutmaya devam ediyoruz.</w:t>
      </w:r>
    </w:p>
    <w:p w:rsidR="00EE4675" w:rsidRPr="0025368B" w:rsidRDefault="0025368B" w:rsidP="0025368B">
      <w:r>
        <w:rPr>
          <w:noProof/>
          <w:lang w:eastAsia="tr-TR"/>
        </w:rPr>
        <w:lastRenderedPageBreak/>
        <w:drawing>
          <wp:inline distT="0" distB="0" distL="0" distR="0">
            <wp:extent cx="5760720" cy="2876964"/>
            <wp:effectExtent l="0" t="0" r="0" b="0"/>
            <wp:docPr id="2" name="Resim 2" descr="https://news-files.foreks.com/content-images/176820155709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s-files.foreks.com/content-images/176820155709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7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4675" w:rsidRPr="00253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0A2"/>
    <w:multiLevelType w:val="multilevel"/>
    <w:tmpl w:val="5064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F0603"/>
    <w:multiLevelType w:val="multilevel"/>
    <w:tmpl w:val="A6C0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809F9"/>
    <w:multiLevelType w:val="multilevel"/>
    <w:tmpl w:val="8F08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49177A"/>
    <w:multiLevelType w:val="multilevel"/>
    <w:tmpl w:val="9960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110B32"/>
    <w:multiLevelType w:val="multilevel"/>
    <w:tmpl w:val="3FB0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52"/>
    <w:rsid w:val="0025368B"/>
    <w:rsid w:val="008C3052"/>
    <w:rsid w:val="00C74756"/>
    <w:rsid w:val="00EE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74756"/>
    <w:rPr>
      <w:b/>
      <w:bCs/>
    </w:rPr>
  </w:style>
  <w:style w:type="character" w:styleId="Vurgu">
    <w:name w:val="Emphasis"/>
    <w:basedOn w:val="VarsaylanParagrafYazTipi"/>
    <w:uiPriority w:val="20"/>
    <w:qFormat/>
    <w:rsid w:val="00C74756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74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475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536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74756"/>
    <w:rPr>
      <w:b/>
      <w:bCs/>
    </w:rPr>
  </w:style>
  <w:style w:type="character" w:styleId="Vurgu">
    <w:name w:val="Emphasis"/>
    <w:basedOn w:val="VarsaylanParagrafYazTipi"/>
    <w:uiPriority w:val="20"/>
    <w:qFormat/>
    <w:rsid w:val="00C74756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74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475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536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0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nizyatirim.com/Uploads/Deniz_Yat_r_m_Strateji_ve_Ara_t_rma_CCOLA__CCOLA_TI__Toplant__Notu_12046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ÖZTÜRK</dc:creator>
  <cp:keywords/>
  <dc:description/>
  <cp:lastModifiedBy>ÖMER FARUK ÖZTÜRK</cp:lastModifiedBy>
  <cp:revision>5</cp:revision>
  <dcterms:created xsi:type="dcterms:W3CDTF">2026-01-02T15:44:00Z</dcterms:created>
  <dcterms:modified xsi:type="dcterms:W3CDTF">2026-01-12T07:45:00Z</dcterms:modified>
</cp:coreProperties>
</file>