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091C" w14:textId="77612D31" w:rsidR="00067CD6" w:rsidRDefault="00067CD6" w:rsidP="00067CD6">
      <w:pPr>
        <w:pStyle w:val="NormalWeb"/>
      </w:pPr>
      <w:proofErr w:type="spellStart"/>
      <w:r>
        <w:t>Stellantis</w:t>
      </w:r>
      <w:proofErr w:type="spellEnd"/>
      <w:r>
        <w:t xml:space="preserve"> </w:t>
      </w:r>
      <w:proofErr w:type="spellStart"/>
      <w:r>
        <w:t>N.V.’ye</w:t>
      </w:r>
      <w:proofErr w:type="spellEnd"/>
      <w:r>
        <w:t xml:space="preserve"> (STELLANTIS) ait olan </w:t>
      </w:r>
      <w:proofErr w:type="spellStart"/>
      <w:r>
        <w:t>Stellantis</w:t>
      </w:r>
      <w:proofErr w:type="spellEnd"/>
      <w:r>
        <w:t xml:space="preserve"> Otomotiv Pazarlama </w:t>
      </w:r>
      <w:proofErr w:type="spellStart"/>
      <w:proofErr w:type="gramStart"/>
      <w:r>
        <w:t>A.Ş’nin</w:t>
      </w:r>
      <w:proofErr w:type="spellEnd"/>
      <w:proofErr w:type="gramEnd"/>
      <w:r>
        <w:t xml:space="preserve">, STELLANTIS ve Koç Holding </w:t>
      </w:r>
      <w:proofErr w:type="spellStart"/>
      <w:r>
        <w:t>A.Ş’nin</w:t>
      </w:r>
      <w:proofErr w:type="spellEnd"/>
      <w:r>
        <w:t xml:space="preserve"> ortak kontrolünde bulunan TOFAŞ Türk Otomobil A.Ş. tarafından devralınması işlemine ilişkin olarak, Rekabet Kurulu’nun 23.11.2023  tarih ve  23-54/1029 –M sayılı toplantısında 4054 Sayılı Kanun’un 10. Maddesinin birinci fıkrası uyarınca konu hakkında  nihai inceleme yapılmasına karar verilmiştir.  Rekabet Kurulu’nun 24.10.2024 tarih </w:t>
      </w:r>
      <w:proofErr w:type="gramStart"/>
      <w:r>
        <w:t>ve  24</w:t>
      </w:r>
      <w:proofErr w:type="gramEnd"/>
      <w:r>
        <w:t>-43/1027-M sayılı  toplantısında yapılan görüşmeler sonucunda, başvuru sahiplerinin konu ile ilgili vermiş olduğu taahhütlerin işleme izin verilebilmesi için yeterli olmadığına karar verilmiştir.      </w:t>
      </w:r>
    </w:p>
    <w:p w14:paraId="41505954" w14:textId="77777777" w:rsidR="00067CD6" w:rsidRDefault="00067CD6" w:rsidP="00067CD6">
      <w:pPr>
        <w:pStyle w:val="NormalWeb"/>
      </w:pPr>
      <w:r>
        <w:rPr>
          <w:rStyle w:val="Gl"/>
        </w:rPr>
        <w:t>Tofaş tarafından yapılan KAP bildirimi ise</w:t>
      </w:r>
      <w:r>
        <w:t xml:space="preserve"> </w:t>
      </w:r>
      <w:r>
        <w:rPr>
          <w:rStyle w:val="Vurgu"/>
        </w:rPr>
        <w:t>“Rekabet hukuku düzenlemeleri kapsamında söz konusu karar bir ara karar niteliğinde olup, anılan kararın şirketimize tebliğ edilmesini takiben yapılacak detaylı değerlendirmeler sonrasında ilave açıklamalarımız yasal süresi içerisinde Rekabet Kurulu'na sunulacaktır. Bu kapsamda ilgili karar nihai nitelikte olmayıp, süreç devam etmektedir. Konuyla ilgili önemli gelişmeler yatırımcılarımızla paylaşılacaktır.”</w:t>
      </w:r>
      <w:r>
        <w:t xml:space="preserve"> </w:t>
      </w:r>
      <w:r>
        <w:rPr>
          <w:rStyle w:val="Gl"/>
        </w:rPr>
        <w:t>şeklindedir.</w:t>
      </w:r>
    </w:p>
    <w:p w14:paraId="427FC368" w14:textId="77777777" w:rsidR="00067CD6" w:rsidRDefault="00067CD6" w:rsidP="00067CD6">
      <w:pPr>
        <w:pStyle w:val="NormalWeb"/>
      </w:pPr>
      <w:r>
        <w:t> </w:t>
      </w:r>
    </w:p>
    <w:p w14:paraId="2B398B89" w14:textId="660FB319" w:rsidR="005819FF" w:rsidRDefault="00067CD6" w:rsidP="00067CD6">
      <w:pPr>
        <w:pStyle w:val="NormalWeb"/>
      </w:pPr>
      <w:r>
        <w:rPr>
          <w:rStyle w:val="Gl"/>
        </w:rPr>
        <w:t xml:space="preserve">Düşüncemiz. </w:t>
      </w:r>
      <w:r>
        <w:t>Hatırlanacağı üzere, Tofaş’ın gerçekleştirdiği 2Ç24 finansal sonuçlarına ait telekonferansın ardından son gelişmelere ait</w:t>
      </w:r>
      <w:r>
        <w:t xml:space="preserve"> kapsamlı değerlendirmelerimizi</w:t>
      </w:r>
      <w:r>
        <w:t xml:space="preserve">5 Ağustos 2024 tarihinde paylaşmıştık. </w:t>
      </w:r>
      <w:r>
        <w:rPr>
          <w:rStyle w:val="Gl"/>
        </w:rPr>
        <w:t xml:space="preserve">İlk yarıyıl finansal sonuçlarına göre beklentilerimizde yaptığımız değişikliklere ek, makro tahminlerimizi güncellememizi modelimize yansıtmamız doğrultusunda, Tofaş için 12-aylık hedef fiyatımızı 448,80 TL’den 357,70 TL’ye, Gözden Geçiriliyor şeklindeki düşüncemizi </w:t>
      </w:r>
      <w:proofErr w:type="spellStart"/>
      <w:r>
        <w:rPr>
          <w:rStyle w:val="Gl"/>
        </w:rPr>
        <w:t>AL’dan</w:t>
      </w:r>
      <w:proofErr w:type="spellEnd"/>
      <w:r>
        <w:rPr>
          <w:rStyle w:val="Gl"/>
        </w:rPr>
        <w:t xml:space="preserve"> </w:t>
      </w:r>
      <w:proofErr w:type="spellStart"/>
      <w:r>
        <w:rPr>
          <w:rStyle w:val="Gl"/>
        </w:rPr>
        <w:t>TUT’a</w:t>
      </w:r>
      <w:proofErr w:type="spellEnd"/>
      <w:r>
        <w:rPr>
          <w:rStyle w:val="Gl"/>
        </w:rPr>
        <w:t xml:space="preserve"> revize etmiştik.</w:t>
      </w:r>
      <w:r>
        <w:t xml:space="preserve"> </w:t>
      </w:r>
      <w:r>
        <w:rPr>
          <w:u w:val="single"/>
        </w:rPr>
        <w:t xml:space="preserve">İlk yarıyıl finansal sonuçlarına göre beklentilerimizde yaptığımız değişiklikleri </w:t>
      </w:r>
      <w:proofErr w:type="gramStart"/>
      <w:r>
        <w:rPr>
          <w:u w:val="single"/>
        </w:rPr>
        <w:t>ise;</w:t>
      </w:r>
      <w:r>
        <w:rPr>
          <w:rStyle w:val="Vurgu"/>
          <w:b/>
          <w:bCs/>
        </w:rPr>
        <w:t>“</w:t>
      </w:r>
      <w:proofErr w:type="gramEnd"/>
      <w:r>
        <w:rPr>
          <w:rStyle w:val="Vurgu"/>
          <w:rFonts w:ascii="Segoe UI Symbol" w:hAnsi="Segoe UI Symbol" w:cs="Segoe UI Symbol"/>
          <w:b/>
          <w:bCs/>
        </w:rPr>
        <w:t>✓</w:t>
      </w:r>
      <w:r>
        <w:rPr>
          <w:rStyle w:val="Vurgu"/>
          <w:b/>
          <w:bCs/>
        </w:rPr>
        <w:t xml:space="preserve"> FCA satışları doğrultusunda 155 bin adet civarında olan yurt içi satış beklentimizi 130 bin adet olarak revize ediyoruz. </w:t>
      </w:r>
      <w:r>
        <w:rPr>
          <w:rStyle w:val="Vurgu"/>
          <w:rFonts w:ascii="Segoe UI Symbol" w:hAnsi="Segoe UI Symbol" w:cs="Segoe UI Symbol"/>
          <w:b/>
          <w:bCs/>
        </w:rPr>
        <w:t>✓</w:t>
      </w:r>
      <w:r>
        <w:rPr>
          <w:rStyle w:val="Vurgu"/>
          <w:b/>
          <w:bCs/>
        </w:rPr>
        <w:t xml:space="preserve"> PSA birleşmesinin yılın ikinci yarısında tamamlanmış olması ve 2024 yılında normalleşen pazar beklentimiz doğrultusunda, 2024 yılı için yaklaşık 70 bin adet civarı araç satışı, 2025 sonrasında ise yine pazar beklentimize göre araç satışını modelimize dahil etmiştik. Ancak, </w:t>
      </w:r>
      <w:proofErr w:type="gramStart"/>
      <w:r>
        <w:rPr>
          <w:rStyle w:val="Vurgu"/>
          <w:b/>
          <w:bCs/>
        </w:rPr>
        <w:t>Ağustos</w:t>
      </w:r>
      <w:proofErr w:type="gramEnd"/>
      <w:r>
        <w:rPr>
          <w:rStyle w:val="Vurgu"/>
          <w:b/>
          <w:bCs/>
        </w:rPr>
        <w:t xml:space="preserve"> ayına geldiğimizde hala birleşmenin tamamlanmamış olması ve sürecin beklentimizden uzun sürmesi doğrultusunda, temkinli olmak amacıyla, 2024 yılı için PSA birleşmesini modelimizden çıkarıyoruz. Birleşmenin bu yıl tamamlanması halinde modelimizde yukarı yönlü risk oluşturacağını ayrıca belirtmek isteriz. </w:t>
      </w:r>
      <w:r>
        <w:rPr>
          <w:rStyle w:val="Vurgu"/>
          <w:rFonts w:ascii="Segoe UI Symbol" w:hAnsi="Segoe UI Symbol" w:cs="Segoe UI Symbol"/>
          <w:b/>
          <w:bCs/>
        </w:rPr>
        <w:t>✓</w:t>
      </w:r>
      <w:r>
        <w:rPr>
          <w:rStyle w:val="Vurgu"/>
          <w:b/>
          <w:bCs/>
        </w:rPr>
        <w:t xml:space="preserve"> Geçen seneye paralel beklediğimiz ihracat rakamını, 44 bin civarına revize ediyoruz.”</w:t>
      </w:r>
      <w:r>
        <w:t xml:space="preserve"> olarak açıklamıştık. </w:t>
      </w:r>
      <w:r>
        <w:rPr>
          <w:rStyle w:val="Gl"/>
        </w:rPr>
        <w:t>Tekrar altını çizmek gerekirse telekonferanslarda yapılan yönlendirmeler doğrultusunda modelimize eklediğimiz PSA birleşmesini, sürecin beklentimizden uzun sürmesi ve temkinli olmak amacıyla, 2024 yılı için modelimizden çıkartmıştık. 2025 yılı ve sonrası için halihazırda modelimizde yer alan PSA birleşmesini, 4 Kasım’da açıklanacak olan 3Ç24 finansal sonuçları paralelinde revize edeceğiz. Bu süreçte ise “TUT” olan önerimizi “Gözden Geçiriliyor” olarak revize ediyoruz.</w:t>
      </w:r>
      <w:r>
        <w:t xml:space="preserve"> </w:t>
      </w:r>
      <w:r>
        <w:rPr>
          <w:rStyle w:val="Gl"/>
        </w:rPr>
        <w:t>Son olarak, ilgili haberi her iki hisse payları açısından olumsuz olarak değerlendiriyoruz.</w:t>
      </w:r>
    </w:p>
    <w:sectPr w:rsidR="00581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1"/>
    <w:rsid w:val="00067CD6"/>
    <w:rsid w:val="005819FF"/>
    <w:rsid w:val="00AA0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5D5B"/>
  <w15:chartTrackingRefBased/>
  <w15:docId w15:val="{C4B257BE-9CD1-473E-BE67-CB1565B0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7C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67CD6"/>
    <w:rPr>
      <w:color w:val="0000FF"/>
      <w:u w:val="single"/>
    </w:rPr>
  </w:style>
  <w:style w:type="character" w:styleId="Gl">
    <w:name w:val="Strong"/>
    <w:basedOn w:val="VarsaylanParagrafYazTipi"/>
    <w:uiPriority w:val="22"/>
    <w:qFormat/>
    <w:rsid w:val="00067CD6"/>
    <w:rPr>
      <w:b/>
      <w:bCs/>
    </w:rPr>
  </w:style>
  <w:style w:type="character" w:styleId="Vurgu">
    <w:name w:val="Emphasis"/>
    <w:basedOn w:val="VarsaylanParagrafYazTipi"/>
    <w:uiPriority w:val="20"/>
    <w:qFormat/>
    <w:rsid w:val="00067C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2024-10-25T09:50:00Z</dcterms:created>
  <dcterms:modified xsi:type="dcterms:W3CDTF">2024-10-25T09:51:00Z</dcterms:modified>
</cp:coreProperties>
</file>