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96E" w:rsidRDefault="00DF196E" w:rsidP="00DF196E">
      <w:pPr>
        <w:pStyle w:val="NormalWeb"/>
      </w:pPr>
      <w:proofErr w:type="spellStart"/>
      <w:r>
        <w:rPr>
          <w:rStyle w:val="Gl"/>
        </w:rPr>
        <w:t>Kalekim</w:t>
      </w:r>
      <w:proofErr w:type="spellEnd"/>
      <w:r>
        <w:rPr>
          <w:rStyle w:val="Gl"/>
        </w:rPr>
        <w:t xml:space="preserve"> 2025 satış hacmi performansını ve 2026 öngörülerini açıkladı.</w:t>
      </w:r>
    </w:p>
    <w:p w:rsidR="00DF196E" w:rsidRDefault="00DF196E" w:rsidP="00DF196E">
      <w:pPr>
        <w:pStyle w:val="NormalWeb"/>
      </w:pPr>
      <w:proofErr w:type="spellStart"/>
      <w:r>
        <w:t>Kalekim</w:t>
      </w:r>
      <w:proofErr w:type="spellEnd"/>
      <w:r>
        <w:t xml:space="preserve">, 2025 yılında makroekonomik ve politik belirsizliklere rağmen </w:t>
      </w:r>
      <w:proofErr w:type="spellStart"/>
      <w:r>
        <w:t>operasyonel</w:t>
      </w:r>
      <w:proofErr w:type="spellEnd"/>
      <w:r>
        <w:t xml:space="preserve"> anlamda güçlü bir direnç sergilemiştir. Şirket’in toplam satış hacmi, bir önceki yıla göre %12,1 oranında artarak 848,9 bin tona ulaşmıştır. Özellikle yılın son çeyreğinde sergilenen ivme, Şirket’in </w:t>
      </w:r>
      <w:proofErr w:type="gramStart"/>
      <w:r>
        <w:t>yıl sonu</w:t>
      </w:r>
      <w:proofErr w:type="gramEnd"/>
      <w:r>
        <w:t xml:space="preserve"> beklentilerini aşmasını sağlayan temel faktör olmuştur. Türkiye pazarında %9,3'lük bir büyüme kaydedilirken, Şirket’in lojistik avantajı ve yaygın dağıtım ağı bu performansı destekleyen ana unsurlar olarak öne çıkmaktadır. Şirket’in uluslararası pazarlardaki büyüme stratejisi 2025 yılında meyvelerini vermeye devam etmiş; ihracat ve yurt dışı hacmi %19,1 oranında artmıştır. Bu dönemde Irak'ta yerel üretime geçilmesi ve bağlı ortaklık </w:t>
      </w:r>
      <w:proofErr w:type="spellStart"/>
      <w:r>
        <w:t>Kalekim</w:t>
      </w:r>
      <w:proofErr w:type="spellEnd"/>
      <w:r>
        <w:t xml:space="preserve"> </w:t>
      </w:r>
      <w:proofErr w:type="spellStart"/>
      <w:r>
        <w:t>Lyksor</w:t>
      </w:r>
      <w:proofErr w:type="spellEnd"/>
      <w:r>
        <w:t xml:space="preserve"> üzerinden Fas'ta gerçekleştirilen ilk yurt dışı yatırım, şirketin bölgesel bir güç olma vizyonunu desteklemiştir.</w:t>
      </w:r>
    </w:p>
    <w:p w:rsidR="00DF196E" w:rsidRDefault="00DF196E" w:rsidP="00DF196E">
      <w:pPr>
        <w:pStyle w:val="NormalWeb"/>
        <w:rPr>
          <w:rStyle w:val="Gl"/>
        </w:rPr>
      </w:pPr>
      <w:r>
        <w:rPr>
          <w:rStyle w:val="Gl"/>
        </w:rPr>
        <w:t xml:space="preserve">2026 yılı için açıklanan beklentiler, Şirket’in sürdürülebilir büyüme patikasında olduğunu göstermektedir. Şirket, net satışlarda %10 - %15 aralığında bir büyüme hedeflemektedir. Tonaj bazında ise Türkiye pazarında %7 - %10, uluslararası pazarlarda ise %12 - %16 arasında bir hacim artışı öngörülmektedir. Karlılık tarafında, %20 - %25 bandında hedeflenen FAVÖK marjı, Şirket’in maliyet yönetimindeki disiplinini koruyacağına işaret etmektedir. </w:t>
      </w:r>
      <w:proofErr w:type="spellStart"/>
      <w:r>
        <w:rPr>
          <w:rStyle w:val="Gl"/>
        </w:rPr>
        <w:t>Kalekim</w:t>
      </w:r>
      <w:proofErr w:type="spellEnd"/>
      <w:r>
        <w:rPr>
          <w:rStyle w:val="Gl"/>
        </w:rPr>
        <w:t>, 2026 yılında büyümesini desteklemek amacıyla 1,4 - 1,7 milyar TL seviyesinde bir yatırım harcaması planlamaktadır. Finansal verimlilik göstergesi olan İşletme Sermayesi / Net Satışlar oranının ise %10 - %15 seviyelerinde tutulması hedefi, nakit akış yönetiminin sağlıklı devam edeceğine dair bir sinyal olarak karşımıza çıkmaktadır.</w:t>
      </w:r>
    </w:p>
    <w:p w:rsidR="001653CB" w:rsidRDefault="001653CB" w:rsidP="00DF196E">
      <w:pPr>
        <w:pStyle w:val="NormalWeb"/>
        <w:rPr>
          <w:rStyle w:val="Gl"/>
        </w:rPr>
      </w:pPr>
    </w:p>
    <w:p w:rsidR="001653CB" w:rsidRDefault="001653CB" w:rsidP="00DF196E">
      <w:pPr>
        <w:pStyle w:val="NormalWeb"/>
      </w:pPr>
      <w:r>
        <w:rPr>
          <w:noProof/>
        </w:rPr>
        <w:drawing>
          <wp:inline distT="0" distB="0" distL="0" distR="0">
            <wp:extent cx="5760720" cy="3215795"/>
            <wp:effectExtent l="0" t="0" r="0" b="3810"/>
            <wp:docPr id="1" name="Resim 1" descr="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i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4300A" w:rsidRDefault="00A4300A"/>
    <w:sectPr w:rsidR="00A43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ABA"/>
    <w:rsid w:val="00132ABA"/>
    <w:rsid w:val="001653CB"/>
    <w:rsid w:val="00A4300A"/>
    <w:rsid w:val="00D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1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F196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65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53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1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F196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65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53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5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ÖZTÜRK</dc:creator>
  <cp:keywords/>
  <dc:description/>
  <cp:lastModifiedBy>ÖMER FARUK ÖZTÜRK</cp:lastModifiedBy>
  <cp:revision>5</cp:revision>
  <dcterms:created xsi:type="dcterms:W3CDTF">2026-01-22T08:59:00Z</dcterms:created>
  <dcterms:modified xsi:type="dcterms:W3CDTF">2026-01-22T09:01:00Z</dcterms:modified>
</cp:coreProperties>
</file>