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255" w:rsidRDefault="00525255" w:rsidP="00525255">
      <w:pPr>
        <w:pStyle w:val="NormalWeb"/>
      </w:pPr>
      <w:r>
        <w:t>KOTON: Telekonferans Notu</w:t>
      </w:r>
    </w:p>
    <w:p w:rsidR="00525255" w:rsidRDefault="00525255" w:rsidP="00525255">
      <w:pPr>
        <w:pStyle w:val="NormalWeb"/>
      </w:pPr>
      <w:r>
        <w:t xml:space="preserve">Şirket, 1Ç26 döneminde jeopolitik gerilimler, Orta Doğu’daki belirsizlikler, hammadde ve enerji fiyatlarındaki dalgalanmalar ile yurt içinde zayıf tüketici talebine rağmen kârlılık odaklı bir performans sergilediklerini belirtti. Bu doğrultuda şirketin toplam satışları yıllık </w:t>
      </w:r>
      <w:proofErr w:type="gramStart"/>
      <w:r>
        <w:t>bazda</w:t>
      </w:r>
      <w:proofErr w:type="gramEnd"/>
      <w:r>
        <w:t xml:space="preserve"> sınırlı oranda %0,7 daralarak 8,3 milyar TL seviyesinde gerçekleşirken, bu dönemde büyümeden ziyade stok verimliliği, fiyatlama disiplini ve kârlılığın </w:t>
      </w:r>
      <w:proofErr w:type="spellStart"/>
      <w:r>
        <w:t>önceliklendirildiği</w:t>
      </w:r>
      <w:proofErr w:type="spellEnd"/>
      <w:r>
        <w:t xml:space="preserve"> ifade edildi.</w:t>
      </w:r>
    </w:p>
    <w:p w:rsidR="00525255" w:rsidRDefault="00525255" w:rsidP="00525255">
      <w:pPr>
        <w:pStyle w:val="NormalWeb"/>
      </w:pPr>
      <w:r>
        <w:t xml:space="preserve">Yurt içi satışlar, 1Ç25’te stok yönetimi kapsamında yapılan yoğun indirimlerin oluşturduğu yüksek </w:t>
      </w:r>
      <w:proofErr w:type="gramStart"/>
      <w:r>
        <w:t>baz</w:t>
      </w:r>
      <w:proofErr w:type="gramEnd"/>
      <w:r>
        <w:t xml:space="preserve"> etkisi ve zayıf tüketici talebi nedeniyle yıllık %1,9 daralarak 6,3 milyar TL oldu. Yurt içi satışların %85’ini oluşturan mağazacılık satışları %1,5 gerilerken, verimliliği düşük mağazaların kapatılması etkisiyle yurt içi metrekare verimliliği USD bazında yaklaşık %11 arttı. Yurt içi e-ticaret satışları yatay seyrederken, bu kanalda brüt kâr </w:t>
      </w:r>
      <w:proofErr w:type="gramStart"/>
      <w:r>
        <w:t>marjında</w:t>
      </w:r>
      <w:proofErr w:type="gramEnd"/>
      <w:r>
        <w:t xml:space="preserve"> yıllık 6,8 puan artış sağlandı.</w:t>
      </w:r>
    </w:p>
    <w:p w:rsidR="00525255" w:rsidRDefault="00525255" w:rsidP="00525255">
      <w:pPr>
        <w:pStyle w:val="NormalWeb"/>
      </w:pPr>
      <w:r>
        <w:t xml:space="preserve">Yurt dışında satışlar 1Ç26 itibarıyla %3 artarak 2 milyar TL’ye ulaştı ve toplam satışların %25’ini oluşturdu. Yurt dışı mağazacılık satışları yıllık %8 büyürken, USD bazında satış büyümesi %17 olarak gerçekleşti. GCC bölgesi özellikle öne çıkarılırken, bölgede yapılan dönüşüm ve yeni mağaza açılışlarının katkısıyla çatışmaların başladığı Mart ayında satışlar USD bazında yıllık %97, 1Ç26 genelinde ise %106 arttı. Nisan ayında da GCC bölgesi toplam satışlarının USD bazında yıllık %73 arttığı belirtildi. Buna karşılık yurt dışı e-ticaret satışları, 1Ç25’teki %65 büyümenin yarattığı yüksek </w:t>
      </w:r>
      <w:proofErr w:type="gramStart"/>
      <w:r>
        <w:t>baz</w:t>
      </w:r>
      <w:proofErr w:type="gramEnd"/>
      <w:r>
        <w:t xml:space="preserve"> nedeniyle %16 daraldı.</w:t>
      </w:r>
    </w:p>
    <w:p w:rsidR="00525255" w:rsidRDefault="00525255" w:rsidP="00525255">
      <w:pPr>
        <w:pStyle w:val="NormalWeb"/>
      </w:pPr>
      <w:r>
        <w:t xml:space="preserve">Şirketin brüt kârı 3,6 milyar TL’den 4,2 milyar TL’ye yükselirken, brüt kâr </w:t>
      </w:r>
      <w:proofErr w:type="gramStart"/>
      <w:r>
        <w:t>marjı</w:t>
      </w:r>
      <w:proofErr w:type="gramEnd"/>
      <w:r>
        <w:t xml:space="preserve"> yıllık 8 puan artışla %42,9’dan %50,9’a çıktı. Şirket, bu iyileşmede SS’26 sezonunda maliyet artışlarının enflasyonun altında tutulmasını, dinamik ürün planlamasını ve fiyatlama politikasını vurguladı. Yurt içi brüt kâr </w:t>
      </w:r>
      <w:proofErr w:type="gramStart"/>
      <w:r>
        <w:t>marjı</w:t>
      </w:r>
      <w:proofErr w:type="gramEnd"/>
      <w:r>
        <w:t xml:space="preserve"> 7,4 puan artışla %52’ye, yurt dışı brüt kâr marjı ise 10 puan artışla %47’ye ulaştı.</w:t>
      </w:r>
    </w:p>
    <w:p w:rsidR="00525255" w:rsidRDefault="00525255" w:rsidP="00525255">
      <w:pPr>
        <w:pStyle w:val="NormalWeb"/>
      </w:pPr>
      <w:r>
        <w:t xml:space="preserve">FAVÖK tarafında da belirgin toparlanma gerçekleşti. FAVÖK yıllık %31 artışla 1,2 milyar TL’den 1,6 milyar TL’ye yükselirken, FAVÖK </w:t>
      </w:r>
      <w:proofErr w:type="gramStart"/>
      <w:r>
        <w:t>marjı</w:t>
      </w:r>
      <w:proofErr w:type="gramEnd"/>
      <w:r>
        <w:t xml:space="preserve"> 4,7 puan artışla %14,6’dan %19,3’e çıktı. Şirket, kur farkı gelirlerindeki azalışa rağmen brüt kâr marjındaki artış ve </w:t>
      </w:r>
      <w:proofErr w:type="spellStart"/>
      <w:r>
        <w:t>operasyonel</w:t>
      </w:r>
      <w:proofErr w:type="spellEnd"/>
      <w:r>
        <w:t xml:space="preserve"> giderlerdeki düşüş sayesinde </w:t>
      </w:r>
      <w:proofErr w:type="gramStart"/>
      <w:r>
        <w:t>marj</w:t>
      </w:r>
      <w:proofErr w:type="gramEnd"/>
      <w:r>
        <w:t xml:space="preserve"> iyileşmesinin sağlandığını belirtti.</w:t>
      </w:r>
    </w:p>
    <w:p w:rsidR="00525255" w:rsidRDefault="00525255" w:rsidP="00525255">
      <w:pPr>
        <w:pStyle w:val="NormalWeb"/>
      </w:pPr>
      <w:r>
        <w:t xml:space="preserve">Şirketin 1Ç25’te 88 milyon TL negatif olan serbest nakit akışı, 1Ç26’da 859 milyon TL pozitif gerçekleşti. Bu iyileşmede </w:t>
      </w:r>
      <w:proofErr w:type="spellStart"/>
      <w:r>
        <w:t>operasyonel</w:t>
      </w:r>
      <w:proofErr w:type="spellEnd"/>
      <w:r>
        <w:t xml:space="preserve"> hızlanma ve işletme sermayesi yönetimi etkili oldu. Şirket, net işletme sermayesindeki iyileşmeyle banka kredilerinin azaldığını, ayrıca Euro ağırlıklı yabancı para kredilerde Euro/USD </w:t>
      </w:r>
      <w:proofErr w:type="gramStart"/>
      <w:r>
        <w:t>paritesindeki</w:t>
      </w:r>
      <w:proofErr w:type="gramEnd"/>
      <w:r>
        <w:t xml:space="preserve"> gerilemenin net borçluluğu desteklediğini ifade etti.</w:t>
      </w:r>
    </w:p>
    <w:p w:rsidR="00525255" w:rsidRDefault="00525255" w:rsidP="00525255">
      <w:pPr>
        <w:pStyle w:val="NormalWeb"/>
      </w:pPr>
      <w:r>
        <w:t xml:space="preserve">Koton, 1Ç26 sonunda toplam 464 mağazaya ulaştı. Dönem içinde yurt dışında 6 mağaza açılışı ve 1 kapanış, yurt içinde ise 1 açılış ve 6 kapanış gerçekleşti. Mağaza dağılımında 205 yurt içi kurumsal, 76 yurt dışı kurumsal, 150 yurt içi </w:t>
      </w:r>
      <w:proofErr w:type="spellStart"/>
      <w:r>
        <w:t>franchise</w:t>
      </w:r>
      <w:proofErr w:type="spellEnd"/>
      <w:r>
        <w:t xml:space="preserve"> ve 33 yurt dışı </w:t>
      </w:r>
      <w:proofErr w:type="spellStart"/>
      <w:r>
        <w:t>franchise</w:t>
      </w:r>
      <w:proofErr w:type="spellEnd"/>
      <w:r>
        <w:t xml:space="preserve"> mağaza bulunuyor. Bölgesel dağılımda Türkiye 238 mağaza ile en büyük paya sahipken, diğer bölgeler CIS 96, MENA 84 ve CEE 46 mağaza ile takip etti. Şirket, 35 ülkede 464 mağaza </w:t>
      </w:r>
      <w:proofErr w:type="gramStart"/>
      <w:r>
        <w:t>ile,</w:t>
      </w:r>
      <w:proofErr w:type="gramEnd"/>
      <w:r>
        <w:t xml:space="preserve"> 70 ülkede ise mağazacılık ve e-ticaret kanallarıyla faaliyet gösterdiğini ifade etti.</w:t>
      </w:r>
    </w:p>
    <w:p w:rsidR="00525255" w:rsidRDefault="00525255" w:rsidP="00525255">
      <w:pPr>
        <w:pStyle w:val="NormalWeb"/>
      </w:pPr>
      <w:r>
        <w:t xml:space="preserve">Şirketin LFL mağazacılık tarafında satış tutarı ve satış adedinde yüksek </w:t>
      </w:r>
      <w:proofErr w:type="gramStart"/>
      <w:r>
        <w:t>baz</w:t>
      </w:r>
      <w:proofErr w:type="gramEnd"/>
      <w:r>
        <w:t xml:space="preserve"> nedeniyle düşüş görüldü. Yurt içi LFL satış tutarı %1,5 azalırken, </w:t>
      </w:r>
      <w:proofErr w:type="gramStart"/>
      <w:r>
        <w:t>konsolide</w:t>
      </w:r>
      <w:proofErr w:type="gramEnd"/>
      <w:r>
        <w:t xml:space="preserve"> LFL satış tutarı da %1,5 geriledi. </w:t>
      </w:r>
      <w:r>
        <w:lastRenderedPageBreak/>
        <w:t xml:space="preserve">Ayrıca Nisan 2026’da yurt içi mağazacılık satışlarının </w:t>
      </w:r>
      <w:proofErr w:type="gramStart"/>
      <w:r>
        <w:t>nominal</w:t>
      </w:r>
      <w:proofErr w:type="gramEnd"/>
      <w:r>
        <w:t xml:space="preserve"> %32, konsolide satışların ise e-ticaret ve toptan kanallarının desteğiyle %34 büyüdüğü ifade edildi.</w:t>
      </w:r>
    </w:p>
    <w:p w:rsidR="00525255" w:rsidRDefault="00525255" w:rsidP="00525255">
      <w:pPr>
        <w:pStyle w:val="NormalWeb"/>
      </w:pPr>
      <w:r>
        <w:t xml:space="preserve">Şirketin toplam e-ticaret satışları 840 milyon TL’den 774 milyon TL’ye geriledi. </w:t>
      </w:r>
      <w:proofErr w:type="spellStart"/>
      <w:r>
        <w:t>Omnichannel</w:t>
      </w:r>
      <w:proofErr w:type="spellEnd"/>
      <w:r>
        <w:t xml:space="preserve"> stratejisi kapsamında mağaza stoklarının e-ticaret </w:t>
      </w:r>
      <w:proofErr w:type="spellStart"/>
      <w:r>
        <w:t>stoğuna</w:t>
      </w:r>
      <w:proofErr w:type="spellEnd"/>
      <w:r>
        <w:t xml:space="preserve"> </w:t>
      </w:r>
      <w:proofErr w:type="gramStart"/>
      <w:r>
        <w:t>entegrasyonunun</w:t>
      </w:r>
      <w:proofErr w:type="gramEnd"/>
      <w:r>
        <w:t xml:space="preserve"> devam ettiği, Temmuz ayında e-ticaret deposunun kapatılarak stok verimliliğinin artırılmasının hedeflendiği belirtildi. ABD pazarına giriş hazırlıklarının sürdüğü ve deneme satışlarının başladığı da paylaşıldı.</w:t>
      </w:r>
    </w:p>
    <w:p w:rsidR="00525255" w:rsidRDefault="00525255" w:rsidP="00525255">
      <w:pPr>
        <w:pStyle w:val="NormalWeb"/>
      </w:pPr>
      <w:r>
        <w:t xml:space="preserve">Koton Club tarafında Türkiye’de üye sayısı 30 Nisan 2026 itibarıyla 9,6 milyonu aştı. Son 12 aylık dönemde 2,2 milyon yeni üye kazanılırken, üye aktiflik oranı yaklaşık %60, Koton Club üyelerinin satış payı ise yaklaşık %70 olarak gerçekleşti. Koton Club üyelerinin alışveriş sıklığının üye olmayan müşterilere göre %68 daha yüksek olduğu belirtildi. CIS bölgesi ve Sırbistan’da yaklaşık 360 bin üyeye ulaşıldığı, 2026’nın ikinci yarısında Gürcistan ve Fas’ta da Koton </w:t>
      </w:r>
      <w:proofErr w:type="spellStart"/>
      <w:r>
        <w:t>Club’ın</w:t>
      </w:r>
      <w:proofErr w:type="spellEnd"/>
      <w:r>
        <w:t xml:space="preserve"> devreye alınmasının planlandığı ifade edildi.</w:t>
      </w:r>
    </w:p>
    <w:p w:rsidR="00525255" w:rsidRDefault="00525255" w:rsidP="00525255">
      <w:pPr>
        <w:pStyle w:val="NormalWeb"/>
      </w:pPr>
      <w:r>
        <w:t xml:space="preserve">Şirket, 2026 beklentilerini korudu. Buna göre satış büyümesi beklentisi yaklaşık %5-%7, brüt kâr </w:t>
      </w:r>
      <w:proofErr w:type="gramStart"/>
      <w:r>
        <w:t>marjı</w:t>
      </w:r>
      <w:proofErr w:type="gramEnd"/>
      <w:r>
        <w:t xml:space="preserve"> beklentisi yaklaşık %54, FAVÖK marjı beklentisi yaklaşık %24, IFRS 16 hariç net finansal borç/FAVÖK beklentisi yaklaşık 0,5x, yatırım harcamaları/satışlar beklentisi yaklaşık %3,5 ve net yeni mağaza sayısı beklentisi 10+ mağaza olarak öngörülüyor. Şirket, işin mevsimselliği gereği daha güçlü geçen 2Ç döneminde Anneler Günü ve Kurban Bayramı katkısı ile Körfez Bölgesi’nden beklenen olumlu gelişmelerin performansı desteklemesini beklediğini belirtti.</w:t>
      </w:r>
    </w:p>
    <w:p w:rsidR="00525255" w:rsidRDefault="00525255" w:rsidP="00525255">
      <w:pPr>
        <w:pStyle w:val="NormalWeb"/>
      </w:pPr>
      <w:r>
        <w:t>Koton’a Neler Soruldu?</w:t>
      </w:r>
    </w:p>
    <w:p w:rsidR="00525255" w:rsidRDefault="00525255" w:rsidP="00525255">
      <w:pPr>
        <w:pStyle w:val="NormalWeb"/>
      </w:pPr>
      <w:r>
        <w:t>Net işletme sermayesi tarafında iyileşme beklentisine ilişkin soruya karşılık şirket, stok yönetimi konusunda önemli planlamalarının bulunduğunu ve özellikle yılın ikinci yarısından itibaren, Temmuz ayında e-ticaret deposunun kapatılmasının da desteğiyle net işletme sermayesinde iyileşme öngördüklerini ifade etti. Ayrıca iş modeli gereği yılın 2. ve 4. çeyreklerinde finansallarda daha pozitif bir tablo beklediklerini vurguladı.</w:t>
      </w:r>
    </w:p>
    <w:p w:rsidR="00525255" w:rsidRDefault="00525255" w:rsidP="00525255">
      <w:pPr>
        <w:pStyle w:val="NormalWeb"/>
      </w:pPr>
      <w:r>
        <w:t xml:space="preserve">Yılın ilk üç ayında yurt içi ve yurt dışı </w:t>
      </w:r>
      <w:proofErr w:type="spellStart"/>
      <w:r>
        <w:t>operasyonel</w:t>
      </w:r>
      <w:proofErr w:type="spellEnd"/>
      <w:r>
        <w:t xml:space="preserve"> performansa ilişkin soruya yanıt olarak şirket, Nisan ayında yurt içi mağazacılık satışlarının </w:t>
      </w:r>
      <w:proofErr w:type="gramStart"/>
      <w:r>
        <w:t>nominal</w:t>
      </w:r>
      <w:proofErr w:type="gramEnd"/>
      <w:r>
        <w:t xml:space="preserve"> olarak %32 arttığını, konsolide satışların ise e-ticaret ve toptan kanallarının desteğiyle reel olarak %3,4 büyüdüğünü belirtti. Özellikle yurt dışında jeopolitik gerginliklere rağmen GCC Bölgesi’nde Nisan 2026’da toplam satışların USD bazında yıllık %73 arttığı ifade edildi. Ayrıca Nisan itibarıyla </w:t>
      </w:r>
      <w:proofErr w:type="gramStart"/>
      <w:r>
        <w:t>paritedeki</w:t>
      </w:r>
      <w:proofErr w:type="gramEnd"/>
      <w:r>
        <w:t xml:space="preserve"> yükselişin önümüzdeki dönemde finansal tablolara olumlu yansımasının beklendiği aktarıldı.</w:t>
      </w:r>
    </w:p>
    <w:p w:rsidR="00FF2376" w:rsidRDefault="00FF2376" w:rsidP="00525255">
      <w:bookmarkStart w:id="0" w:name="_GoBack"/>
      <w:bookmarkEnd w:id="0"/>
    </w:p>
    <w:sectPr w:rsidR="00FF2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E2D"/>
    <w:rsid w:val="00525255"/>
    <w:rsid w:val="00F46E2D"/>
    <w:rsid w:val="00FF23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2525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2525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1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908</Words>
  <Characters>5178</Characters>
  <Application>Microsoft Office Word</Application>
  <DocSecurity>0</DocSecurity>
  <Lines>43</Lines>
  <Paragraphs>12</Paragraphs>
  <ScaleCrop>false</ScaleCrop>
  <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3</cp:revision>
  <dcterms:created xsi:type="dcterms:W3CDTF">2026-05-11T08:53:00Z</dcterms:created>
  <dcterms:modified xsi:type="dcterms:W3CDTF">2026-05-11T08:54:00Z</dcterms:modified>
</cp:coreProperties>
</file>