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83" w:rsidRDefault="005F3B83" w:rsidP="005F3B83">
      <w:bookmarkStart w:id="0" w:name="_GoBack"/>
      <w:bookmarkEnd w:id="0"/>
    </w:p>
    <w:p w:rsidR="005F3B83" w:rsidRDefault="005F3B83" w:rsidP="005F3B83">
      <w:pPr>
        <w:rPr>
          <w:b/>
          <w:bCs/>
          <w:caps/>
          <w:color w:val="7F7F7F"/>
          <w:sz w:val="24"/>
          <w:szCs w:val="24"/>
          <w:lang w:val="en-US" w:eastAsia="tr-TR"/>
        </w:rPr>
      </w:pPr>
      <w:r>
        <w:rPr>
          <w:b/>
          <w:bCs/>
          <w:caps/>
          <w:color w:val="003366"/>
          <w:sz w:val="24"/>
          <w:szCs w:val="24"/>
          <w:lang w:val="en-US" w:eastAsia="tr-TR"/>
        </w:rPr>
        <w:t>DENIZ YATIRIM STRATEJİ &amp; ARAŞTIRMA</w:t>
      </w:r>
      <w:r>
        <w:rPr>
          <w:b/>
          <w:bCs/>
          <w:caps/>
          <w:color w:val="7F7F7F"/>
          <w:sz w:val="24"/>
          <w:szCs w:val="24"/>
          <w:lang w:val="en-US" w:eastAsia="tr-TR"/>
        </w:rPr>
        <w:t xml:space="preserve"> </w:t>
      </w:r>
    </w:p>
    <w:p w:rsidR="005F3B83" w:rsidRDefault="005F3B83" w:rsidP="005F3B83">
      <w:pPr>
        <w:jc w:val="center"/>
        <w:rPr>
          <w:rFonts w:ascii="FreeSetC" w:eastAsia="Times New Roman" w:hAnsi="FreeSetC"/>
          <w:b/>
          <w:bCs/>
          <w:color w:val="000067"/>
          <w:sz w:val="44"/>
          <w:szCs w:val="44"/>
          <w:lang w:eastAsia="tr-TR"/>
        </w:rPr>
      </w:pPr>
      <w:r>
        <w:rPr>
          <w:rFonts w:ascii="FreeSetC" w:eastAsia="Times New Roman" w:hAnsi="FreeSetC"/>
          <w:b/>
          <w:bCs/>
          <w:color w:val="000067"/>
          <w:sz w:val="44"/>
          <w:szCs w:val="44"/>
          <w:lang w:eastAsia="tr-TR"/>
        </w:rPr>
        <w:pict>
          <v:rect id="_x0000_i1029" style="width:453.6pt;height:.75pt" o:hralign="center" o:hrstd="t" o:hrnoshade="t" o:hr="t" fillcolor="#036" stroked="f"/>
        </w:pict>
      </w:r>
    </w:p>
    <w:p w:rsidR="005F3B83" w:rsidRDefault="005F3B83" w:rsidP="005F3B83">
      <w:pPr>
        <w:spacing w:after="120"/>
        <w:rPr>
          <w:b/>
          <w:bCs/>
          <w:color w:val="003366"/>
          <w:sz w:val="44"/>
          <w:szCs w:val="44"/>
          <w:lang w:val="en-US" w:eastAsia="tr-TR"/>
        </w:rPr>
      </w:pPr>
      <w:r>
        <w:rPr>
          <w:b/>
          <w:bCs/>
          <w:color w:val="003366"/>
          <w:sz w:val="44"/>
          <w:szCs w:val="44"/>
          <w:lang w:val="en-US" w:eastAsia="tr-TR"/>
        </w:rPr>
        <w:t xml:space="preserve">Selçuk </w:t>
      </w:r>
      <w:proofErr w:type="spellStart"/>
      <w:r>
        <w:rPr>
          <w:b/>
          <w:bCs/>
          <w:color w:val="003366"/>
          <w:sz w:val="44"/>
          <w:szCs w:val="44"/>
          <w:lang w:val="en-US" w:eastAsia="tr-TR"/>
        </w:rPr>
        <w:t>Ecza</w:t>
      </w:r>
      <w:proofErr w:type="spellEnd"/>
      <w:r>
        <w:rPr>
          <w:b/>
          <w:bCs/>
          <w:color w:val="003366"/>
          <w:sz w:val="44"/>
          <w:szCs w:val="44"/>
          <w:lang w:val="en-US" w:eastAsia="tr-TR"/>
        </w:rPr>
        <w:t xml:space="preserve"> </w:t>
      </w:r>
      <w:proofErr w:type="spellStart"/>
      <w:r>
        <w:rPr>
          <w:b/>
          <w:bCs/>
          <w:color w:val="003366"/>
          <w:sz w:val="44"/>
          <w:szCs w:val="44"/>
          <w:lang w:val="en-US" w:eastAsia="tr-TR"/>
        </w:rPr>
        <w:t>Deposu</w:t>
      </w:r>
      <w:proofErr w:type="spellEnd"/>
      <w:r>
        <w:rPr>
          <w:b/>
          <w:bCs/>
          <w:color w:val="003366"/>
          <w:sz w:val="44"/>
          <w:szCs w:val="44"/>
          <w:lang w:val="en-US" w:eastAsia="tr-TR"/>
        </w:rPr>
        <w:t xml:space="preserve"> (SELEC TI)</w:t>
      </w:r>
    </w:p>
    <w:p w:rsidR="005F3B83" w:rsidRDefault="005F3B83" w:rsidP="005F3B83">
      <w:pPr>
        <w:spacing w:after="120"/>
        <w:rPr>
          <w:b/>
          <w:bCs/>
          <w:color w:val="003366"/>
          <w:sz w:val="32"/>
          <w:szCs w:val="32"/>
          <w:lang w:val="en-US" w:eastAsia="tr-TR"/>
        </w:rPr>
      </w:pPr>
      <w:proofErr w:type="spellStart"/>
      <w:r>
        <w:rPr>
          <w:b/>
          <w:bCs/>
          <w:color w:val="003366"/>
          <w:sz w:val="32"/>
          <w:szCs w:val="32"/>
          <w:lang w:val="en-US" w:eastAsia="tr-TR"/>
        </w:rPr>
        <w:t>Bilanço</w:t>
      </w:r>
      <w:proofErr w:type="spellEnd"/>
      <w:r>
        <w:rPr>
          <w:b/>
          <w:bCs/>
          <w:color w:val="003366"/>
          <w:sz w:val="32"/>
          <w:szCs w:val="32"/>
          <w:lang w:val="en-US" w:eastAsia="tr-TR"/>
        </w:rPr>
        <w:t xml:space="preserve"> </w:t>
      </w:r>
      <w:proofErr w:type="spellStart"/>
      <w:r>
        <w:rPr>
          <w:b/>
          <w:bCs/>
          <w:color w:val="003366"/>
          <w:sz w:val="32"/>
          <w:szCs w:val="32"/>
          <w:lang w:val="en-US" w:eastAsia="tr-TR"/>
        </w:rPr>
        <w:t>değerlendirmesi</w:t>
      </w:r>
      <w:proofErr w:type="spellEnd"/>
      <w:r>
        <w:rPr>
          <w:b/>
          <w:bCs/>
          <w:color w:val="003366"/>
          <w:sz w:val="32"/>
          <w:szCs w:val="32"/>
          <w:lang w:val="en-US" w:eastAsia="tr-TR"/>
        </w:rPr>
        <w:t xml:space="preserve"> / </w:t>
      </w:r>
      <w:proofErr w:type="spellStart"/>
      <w:r>
        <w:rPr>
          <w:b/>
          <w:bCs/>
          <w:color w:val="003366"/>
          <w:sz w:val="32"/>
          <w:szCs w:val="32"/>
          <w:lang w:val="en-US" w:eastAsia="tr-TR"/>
        </w:rPr>
        <w:t>olumsuz</w:t>
      </w:r>
      <w:proofErr w:type="spellEnd"/>
    </w:p>
    <w:p w:rsidR="005F3B83" w:rsidRDefault="005F3B83" w:rsidP="005F3B83">
      <w:pPr>
        <w:spacing w:line="280" w:lineRule="exact"/>
        <w:jc w:val="center"/>
        <w:rPr>
          <w:rFonts w:ascii="FreeSetC" w:eastAsia="Times New Roman" w:hAnsi="FreeSetC"/>
          <w:sz w:val="19"/>
          <w:szCs w:val="19"/>
          <w:lang w:eastAsia="tr-TR"/>
        </w:rPr>
      </w:pPr>
      <w:r>
        <w:rPr>
          <w:rFonts w:ascii="FreeSetC" w:eastAsia="Times New Roman" w:hAnsi="FreeSetC"/>
          <w:sz w:val="19"/>
          <w:szCs w:val="19"/>
          <w:lang w:eastAsia="tr-TR"/>
        </w:rPr>
        <w:pict>
          <v:rect id="_x0000_i1030" style="width:453.6pt;height:.75pt" o:hralign="center" o:hrstd="t" o:hrnoshade="t" o:hr="t" fillcolor="#036" stroked="f"/>
        </w:pict>
      </w:r>
    </w:p>
    <w:p w:rsidR="005F3B83" w:rsidRDefault="005F3B83" w:rsidP="005F3B83">
      <w:pPr>
        <w:pStyle w:val="FPIntroduction"/>
        <w:spacing w:before="60"/>
        <w:rPr>
          <w:sz w:val="22"/>
          <w:szCs w:val="22"/>
        </w:rPr>
      </w:pPr>
      <w:r>
        <w:rPr>
          <w:sz w:val="22"/>
          <w:szCs w:val="22"/>
        </w:rPr>
        <w:t>Selçuk Ecza Deposu, 2Ç25'te 36.106 milyon TL gelir, 641 milyon TL FAVÖK ve 321 milyon TL net zarar açıkladı. Enflasyon muhasebesi nedeniyle parasal kazanç/kayıp kalemi altında 1.342 milyon TL’lik olumsuz etki oluştu.</w:t>
      </w:r>
    </w:p>
    <w:p w:rsidR="005F3B83" w:rsidRDefault="005F3B83" w:rsidP="005F3B83">
      <w:pPr>
        <w:pStyle w:val="FPIntroduction"/>
        <w:spacing w:before="60"/>
        <w:rPr>
          <w:sz w:val="22"/>
          <w:szCs w:val="22"/>
        </w:rPr>
      </w:pPr>
    </w:p>
    <w:p w:rsidR="005F3B83" w:rsidRDefault="005F3B83" w:rsidP="005F3B83">
      <w:pPr>
        <w:pStyle w:val="ListeMaddemi1"/>
        <w:numPr>
          <w:ilvl w:val="0"/>
          <w:numId w:val="6"/>
        </w:numPr>
        <w:ind w:left="170" w:hanging="170"/>
        <w:rPr>
          <w:sz w:val="22"/>
          <w:szCs w:val="22"/>
        </w:rPr>
      </w:pPr>
      <w:bookmarkStart w:id="1" w:name="_Hlk164954405"/>
      <w:r>
        <w:rPr>
          <w:b/>
          <w:bCs/>
          <w:sz w:val="22"/>
          <w:szCs w:val="22"/>
        </w:rPr>
        <w:t xml:space="preserve">Bilançoda olumlu okuduğumuz detaylar </w:t>
      </w:r>
    </w:p>
    <w:p w:rsidR="005F3B83" w:rsidRDefault="005F3B83" w:rsidP="005F3B83">
      <w:pPr>
        <w:pStyle w:val="ListeMaddemi1"/>
        <w:numPr>
          <w:ilvl w:val="0"/>
          <w:numId w:val="7"/>
        </w:numPr>
        <w:rPr>
          <w:i/>
          <w:iCs/>
          <w:sz w:val="22"/>
          <w:szCs w:val="22"/>
        </w:rPr>
      </w:pPr>
      <w:bookmarkStart w:id="2" w:name="_Hlk180737338"/>
      <w:r>
        <w:rPr>
          <w:i/>
          <w:iCs/>
          <w:sz w:val="22"/>
          <w:szCs w:val="22"/>
        </w:rPr>
        <w:t> Satış gelirlerindeki reel büyüme</w:t>
      </w:r>
    </w:p>
    <w:bookmarkEnd w:id="2"/>
    <w:p w:rsidR="005F3B83" w:rsidRDefault="005F3B83" w:rsidP="005F3B83">
      <w:pPr>
        <w:pStyle w:val="ListeMaddemi1"/>
        <w:numPr>
          <w:ilvl w:val="0"/>
          <w:numId w:val="6"/>
        </w:numPr>
        <w:ind w:left="170" w:hanging="17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Bilançoda olumsuz okuduğumuz detaylar </w:t>
      </w:r>
    </w:p>
    <w:p w:rsidR="005F3B83" w:rsidRDefault="005F3B83" w:rsidP="005F3B83">
      <w:pPr>
        <w:pStyle w:val="ListeMaddemi1"/>
        <w:numPr>
          <w:ilvl w:val="0"/>
          <w:numId w:val="8"/>
        </w:numPr>
        <w:rPr>
          <w:i/>
          <w:iCs/>
          <w:sz w:val="22"/>
          <w:szCs w:val="22"/>
        </w:rPr>
      </w:pPr>
      <w:bookmarkStart w:id="3" w:name="_Hlk179962136"/>
      <w:r>
        <w:rPr>
          <w:i/>
          <w:iCs/>
          <w:sz w:val="22"/>
          <w:szCs w:val="22"/>
        </w:rPr>
        <w:t>FAVÖK tarafında görülen zayıf performans, net zarar</w:t>
      </w:r>
    </w:p>
    <w:bookmarkEnd w:id="3"/>
    <w:p w:rsidR="005F3B83" w:rsidRDefault="005F3B83" w:rsidP="005F3B83">
      <w:pPr>
        <w:pStyle w:val="ListeMaddemi1"/>
        <w:numPr>
          <w:ilvl w:val="0"/>
          <w:numId w:val="6"/>
        </w:numPr>
        <w:ind w:left="170" w:hanging="170"/>
        <w:rPr>
          <w:sz w:val="22"/>
          <w:szCs w:val="22"/>
        </w:rPr>
      </w:pPr>
      <w:r>
        <w:rPr>
          <w:b/>
          <w:bCs/>
          <w:sz w:val="22"/>
          <w:szCs w:val="22"/>
        </w:rPr>
        <w:t>Bilançoya dair kısa değerlendirmemiz</w:t>
      </w:r>
    </w:p>
    <w:bookmarkEnd w:id="1"/>
    <w:p w:rsidR="005F3B83" w:rsidRDefault="005F3B83" w:rsidP="005F3B83">
      <w:pPr>
        <w:pStyle w:val="FPIntroduction"/>
        <w:spacing w:before="60"/>
        <w:rPr>
          <w:sz w:val="22"/>
          <w:szCs w:val="22"/>
        </w:rPr>
      </w:pPr>
      <w:r>
        <w:rPr>
          <w:sz w:val="22"/>
          <w:szCs w:val="22"/>
        </w:rPr>
        <w:t>2Ç25 finansallarının, satışlardaki reel büyümeye rağmen FAVÖK tarafındaki zayıflık ve net zarar yazılması noktasında olumsuz olarak değerlendiriyoruz. Hisse fiyatlamasında zayıf sonuçların baskı yaratması yüksek ihtimaldir.</w:t>
      </w:r>
    </w:p>
    <w:p w:rsidR="005F3B83" w:rsidRDefault="005F3B83" w:rsidP="005F3B83">
      <w:pPr>
        <w:pStyle w:val="FPIntroduction"/>
        <w:spacing w:before="60"/>
        <w:rPr>
          <w:sz w:val="22"/>
          <w:szCs w:val="22"/>
        </w:rPr>
      </w:pPr>
    </w:p>
    <w:p w:rsidR="005F3B83" w:rsidRDefault="005F3B83" w:rsidP="005F3B83">
      <w:pPr>
        <w:pStyle w:val="FPIntroduction"/>
        <w:spacing w:before="60"/>
        <w:rPr>
          <w:sz w:val="22"/>
          <w:szCs w:val="22"/>
        </w:rPr>
      </w:pPr>
      <w:r>
        <w:rPr>
          <w:sz w:val="22"/>
          <w:szCs w:val="22"/>
        </w:rPr>
        <w:t>Selçuk Ecza Deposu’nun, 2Ç25 dönemine ait kısa finansal sonuçlarının değerlendirmesini aşağıda bulabilirsiniz.</w:t>
      </w:r>
    </w:p>
    <w:p w:rsidR="005F3B83" w:rsidRDefault="005F3B83" w:rsidP="005F3B83">
      <w:pPr>
        <w:pStyle w:val="FPIntroduction"/>
        <w:spacing w:before="60"/>
        <w:rPr>
          <w:sz w:val="22"/>
          <w:szCs w:val="22"/>
        </w:rPr>
      </w:pPr>
    </w:p>
    <w:p w:rsidR="005F3B83" w:rsidRDefault="005F3B83" w:rsidP="005F3B83">
      <w:pPr>
        <w:numPr>
          <w:ilvl w:val="0"/>
          <w:numId w:val="9"/>
        </w:numPr>
        <w:spacing w:line="360" w:lineRule="auto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 xml:space="preserve">Selçuk Ecza Deposu, 2Ç25'te yıllık </w:t>
      </w:r>
      <w:proofErr w:type="gramStart"/>
      <w:r>
        <w:rPr>
          <w:rFonts w:eastAsia="Times New Roman"/>
          <w:lang w:eastAsia="tr-TR"/>
        </w:rPr>
        <w:t>bazda</w:t>
      </w:r>
      <w:proofErr w:type="gramEnd"/>
      <w:r>
        <w:rPr>
          <w:rFonts w:eastAsia="Times New Roman"/>
          <w:lang w:eastAsia="tr-TR"/>
        </w:rPr>
        <w:t xml:space="preserve"> %7 artışla 36.106 milyon TL satış geliri kaydetti.</w:t>
      </w:r>
    </w:p>
    <w:p w:rsidR="005F3B83" w:rsidRDefault="005F3B83" w:rsidP="005F3B83">
      <w:pPr>
        <w:numPr>
          <w:ilvl w:val="0"/>
          <w:numId w:val="9"/>
        </w:numPr>
        <w:spacing w:line="360" w:lineRule="auto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 xml:space="preserve">Şirket'in brüt karı bu dönemde 2.757 milyon TL seviyesinde gerçekleşirken, geçen yılın aynı dönemine göre %2 azalış gösterdi. Brüt kar </w:t>
      </w:r>
      <w:proofErr w:type="gramStart"/>
      <w:r>
        <w:rPr>
          <w:rFonts w:eastAsia="Times New Roman"/>
          <w:lang w:eastAsia="tr-TR"/>
        </w:rPr>
        <w:t>marjı</w:t>
      </w:r>
      <w:proofErr w:type="gramEnd"/>
      <w:r>
        <w:rPr>
          <w:rFonts w:eastAsia="Times New Roman"/>
          <w:lang w:eastAsia="tr-TR"/>
        </w:rPr>
        <w:t xml:space="preserve"> ise 0,7 puan azalışla %7,6 oldu. </w:t>
      </w:r>
    </w:p>
    <w:p w:rsidR="005F3B83" w:rsidRDefault="005F3B83" w:rsidP="005F3B83">
      <w:pPr>
        <w:numPr>
          <w:ilvl w:val="0"/>
          <w:numId w:val="9"/>
        </w:numPr>
        <w:spacing w:line="360" w:lineRule="auto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 xml:space="preserve">FAVÖK 2Ç25'te yıllık %24 azalışla 641 milyon TL seviyesinde gerçekleşirken, FAVÖK </w:t>
      </w:r>
      <w:proofErr w:type="gramStart"/>
      <w:r>
        <w:rPr>
          <w:rFonts w:eastAsia="Times New Roman"/>
          <w:lang w:eastAsia="tr-TR"/>
        </w:rPr>
        <w:t>marjı</w:t>
      </w:r>
      <w:proofErr w:type="gramEnd"/>
      <w:r>
        <w:rPr>
          <w:rFonts w:eastAsia="Times New Roman"/>
          <w:lang w:eastAsia="tr-TR"/>
        </w:rPr>
        <w:t xml:space="preserve"> 0,7 puan azalışla %1,8 oldu.</w:t>
      </w:r>
    </w:p>
    <w:p w:rsidR="005F3B83" w:rsidRDefault="005F3B83" w:rsidP="005F3B83">
      <w:pPr>
        <w:numPr>
          <w:ilvl w:val="0"/>
          <w:numId w:val="9"/>
        </w:numPr>
        <w:spacing w:line="360" w:lineRule="auto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>Şirket, 2Ç25 döneminde 321 milyon TL net zarar açıkladı (1Ç25: 2 milyon TL net kar, 2Ç24: 179 milyon TL net kar).</w:t>
      </w:r>
    </w:p>
    <w:p w:rsidR="005F3B83" w:rsidRDefault="005F3B83" w:rsidP="005F3B83">
      <w:pPr>
        <w:numPr>
          <w:ilvl w:val="0"/>
          <w:numId w:val="9"/>
        </w:numPr>
        <w:spacing w:line="360" w:lineRule="auto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 xml:space="preserve">Haziran 2025 sonu itibariyle Şirket’in 7.280 milyon TL net nakit pozisyonu bulunmaktadır (Mart 2025: 7.968 milyon TL net nakit pozisyonu). Aynı dönemde net nakit/FAVÖK </w:t>
      </w:r>
      <w:proofErr w:type="spellStart"/>
      <w:r>
        <w:rPr>
          <w:rFonts w:eastAsia="Times New Roman"/>
          <w:lang w:eastAsia="tr-TR"/>
        </w:rPr>
        <w:t>rasyosu</w:t>
      </w:r>
      <w:proofErr w:type="spellEnd"/>
      <w:r>
        <w:rPr>
          <w:rFonts w:eastAsia="Times New Roman"/>
          <w:lang w:eastAsia="tr-TR"/>
        </w:rPr>
        <w:t xml:space="preserve"> ise 1,5x oldu (Mart 2025: 1,6x net nakit/FAVÖK).</w:t>
      </w:r>
    </w:p>
    <w:p w:rsidR="005F3B83" w:rsidRDefault="005F3B83" w:rsidP="005F3B83">
      <w:pPr>
        <w:rPr>
          <w:color w:val="000000"/>
          <w:lang w:eastAsia="tr-TR"/>
        </w:rPr>
      </w:pPr>
    </w:p>
    <w:p w:rsidR="005F3B83" w:rsidRDefault="005F3B83" w:rsidP="005F3B83">
      <w:pPr>
        <w:spacing w:line="360" w:lineRule="auto"/>
        <w:rPr>
          <w:b/>
          <w:bCs/>
          <w:lang w:eastAsia="tr-TR"/>
        </w:rPr>
      </w:pPr>
      <w:r>
        <w:rPr>
          <w:lang w:eastAsia="tr-TR"/>
        </w:rPr>
        <w:t>Mevcut durumda,</w:t>
      </w:r>
      <w:r>
        <w:rPr>
          <w:b/>
          <w:bCs/>
          <w:lang w:eastAsia="tr-TR"/>
        </w:rPr>
        <w:t xml:space="preserve"> Mevcut durumda, Selçuk Ecza Deposu için 12-aylık hedef fiyatımız 84,60 TL, önerimiz de TUT yönünde. Hisse, </w:t>
      </w:r>
      <w:proofErr w:type="gramStart"/>
      <w:r>
        <w:rPr>
          <w:b/>
          <w:bCs/>
          <w:lang w:eastAsia="tr-TR"/>
        </w:rPr>
        <w:t>yıl başından</w:t>
      </w:r>
      <w:proofErr w:type="gramEnd"/>
      <w:r>
        <w:rPr>
          <w:b/>
          <w:bCs/>
          <w:lang w:eastAsia="tr-TR"/>
        </w:rPr>
        <w:t xml:space="preserve"> itibaren BIST 100 endeksinin %9 üzerinde performans göstermiştir. Geriye dönük 12 aylık verilere göre hisse 38,6x F/K ve 10,8x FD/FAVÖK çarpanlarından işlem görmektedir.</w:t>
      </w:r>
    </w:p>
    <w:p w:rsidR="005F3B83" w:rsidRDefault="005F3B83" w:rsidP="005F3B83">
      <w:pPr>
        <w:rPr>
          <w:b/>
          <w:bCs/>
          <w:color w:val="000000"/>
          <w:lang w:eastAsia="tr-TR"/>
        </w:rPr>
      </w:pPr>
    </w:p>
    <w:p w:rsidR="005F3B83" w:rsidRDefault="005F3B83" w:rsidP="005F3B83">
      <w:r>
        <w:rPr>
          <w:noProof/>
          <w:lang w:eastAsia="tr-TR"/>
        </w:rPr>
        <w:drawing>
          <wp:inline distT="0" distB="0" distL="0" distR="0">
            <wp:extent cx="15859125" cy="6677025"/>
            <wp:effectExtent l="0" t="0" r="9525" b="9525"/>
            <wp:docPr id="1" name="Resim 1" descr="cid:image001.png@01DC10E9.C90F4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C10E9.C90F4D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912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B83" w:rsidRDefault="005F3B83" w:rsidP="005F3B83">
      <w:pPr>
        <w:spacing w:line="280" w:lineRule="exact"/>
        <w:jc w:val="both"/>
      </w:pPr>
    </w:p>
    <w:sectPr w:rsidR="005F3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A2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FreeSetC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44273"/>
    <w:multiLevelType w:val="hybridMultilevel"/>
    <w:tmpl w:val="DF9C2426"/>
    <w:lvl w:ilvl="0" w:tplc="1D5461B4">
      <w:start w:val="1"/>
      <w:numFmt w:val="bullet"/>
      <w:pStyle w:val="ListeMaddemi1"/>
      <w:lvlText w:val="■"/>
      <w:lvlJc w:val="left"/>
      <w:pPr>
        <w:ind w:left="360" w:hanging="360"/>
      </w:pPr>
      <w:rPr>
        <w:rFonts w:ascii="Lucida Console" w:hAnsi="Lucida Console" w:hint="default"/>
        <w:color w:val="003366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77D26"/>
    <w:multiLevelType w:val="hybridMultilevel"/>
    <w:tmpl w:val="553C661E"/>
    <w:lvl w:ilvl="0" w:tplc="125A5A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39B"/>
        <w:u w:color="00539B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458D0"/>
    <w:multiLevelType w:val="multilevel"/>
    <w:tmpl w:val="D15E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657D7"/>
    <w:multiLevelType w:val="hybridMultilevel"/>
    <w:tmpl w:val="2620FDE0"/>
    <w:lvl w:ilvl="0" w:tplc="C7B05E8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E17BC"/>
    <w:multiLevelType w:val="hybridMultilevel"/>
    <w:tmpl w:val="749AC6B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C8"/>
    <w:rsid w:val="000A6B3A"/>
    <w:rsid w:val="00376999"/>
    <w:rsid w:val="00577FC8"/>
    <w:rsid w:val="005F3B83"/>
    <w:rsid w:val="009A3908"/>
    <w:rsid w:val="00E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A895B-94AA-49DF-AFD6-25F27297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908"/>
    <w:pPr>
      <w:spacing w:after="0" w:line="240" w:lineRule="auto"/>
    </w:pPr>
    <w:rPr>
      <w:rFonts w:ascii="Calibri" w:hAnsi="Calibri" w:cs="Calibri"/>
    </w:rPr>
  </w:style>
  <w:style w:type="paragraph" w:styleId="Balk1">
    <w:name w:val="heading 1"/>
    <w:basedOn w:val="Normal"/>
    <w:link w:val="Balk1Char"/>
    <w:uiPriority w:val="9"/>
    <w:qFormat/>
    <w:rsid w:val="00577F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577FC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577FC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7FC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77FC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77FC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77FC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77F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7F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577FC8"/>
    <w:rPr>
      <w:i/>
      <w:iCs/>
    </w:rPr>
  </w:style>
  <w:style w:type="paragraph" w:customStyle="1" w:styleId="instrumentnamecontent">
    <w:name w:val="instrumentnamecontent"/>
    <w:basedOn w:val="Normal"/>
    <w:rsid w:val="000A6B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instrumentsaleprice">
    <w:name w:val="instrumentsaleprice"/>
    <w:basedOn w:val="VarsaylanParagrafYazTipi"/>
    <w:rsid w:val="000A6B3A"/>
  </w:style>
  <w:style w:type="character" w:customStyle="1" w:styleId="dailychangepercentage">
    <w:name w:val="dailychangepercentage"/>
    <w:basedOn w:val="VarsaylanParagrafYazTipi"/>
    <w:rsid w:val="000A6B3A"/>
  </w:style>
  <w:style w:type="character" w:customStyle="1" w:styleId="marketactiontitle">
    <w:name w:val="marketactiontitle"/>
    <w:basedOn w:val="VarsaylanParagrafYazTipi"/>
    <w:rsid w:val="000A6B3A"/>
  </w:style>
  <w:style w:type="character" w:customStyle="1" w:styleId="marketactionprice">
    <w:name w:val="marketactionprice"/>
    <w:basedOn w:val="VarsaylanParagrafYazTipi"/>
    <w:rsid w:val="000A6B3A"/>
  </w:style>
  <w:style w:type="paragraph" w:customStyle="1" w:styleId="ListeMaddemi1">
    <w:name w:val="Liste Madde İmi1"/>
    <w:aliases w:val="FP_Bullet,List Bullet"/>
    <w:basedOn w:val="Normal"/>
    <w:uiPriority w:val="99"/>
    <w:rsid w:val="009A3908"/>
    <w:pPr>
      <w:numPr>
        <w:numId w:val="2"/>
      </w:numPr>
      <w:spacing w:before="120" w:line="280" w:lineRule="exact"/>
      <w:ind w:left="170" w:hanging="170"/>
      <w:jc w:val="both"/>
    </w:pPr>
    <w:rPr>
      <w:sz w:val="19"/>
      <w:szCs w:val="19"/>
    </w:rPr>
  </w:style>
  <w:style w:type="paragraph" w:customStyle="1" w:styleId="FPIntroduction">
    <w:name w:val="FP_Introduction"/>
    <w:basedOn w:val="Normal"/>
    <w:rsid w:val="009A3908"/>
    <w:pPr>
      <w:spacing w:before="120" w:line="280" w:lineRule="exact"/>
      <w:jc w:val="both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5433">
          <w:marLeft w:val="0"/>
          <w:marRight w:val="0"/>
          <w:marTop w:val="0"/>
          <w:marBottom w:val="300"/>
          <w:divBdr>
            <w:top w:val="single" w:sz="6" w:space="19" w:color="E4E9F2"/>
            <w:left w:val="none" w:sz="0" w:space="26" w:color="auto"/>
            <w:bottom w:val="single" w:sz="6" w:space="19" w:color="E4E9F2"/>
            <w:right w:val="none" w:sz="0" w:space="26" w:color="auto"/>
          </w:divBdr>
          <w:divsChild>
            <w:div w:id="5525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16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8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4">
          <w:marLeft w:val="0"/>
          <w:marRight w:val="0"/>
          <w:marTop w:val="0"/>
          <w:marBottom w:val="300"/>
          <w:divBdr>
            <w:top w:val="single" w:sz="6" w:space="19" w:color="E4E9F2"/>
            <w:left w:val="none" w:sz="0" w:space="26" w:color="auto"/>
            <w:bottom w:val="single" w:sz="6" w:space="19" w:color="E4E9F2"/>
            <w:right w:val="none" w:sz="0" w:space="26" w:color="auto"/>
          </w:divBdr>
          <w:divsChild>
            <w:div w:id="1581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28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1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2563">
          <w:marLeft w:val="0"/>
          <w:marRight w:val="0"/>
          <w:marTop w:val="0"/>
          <w:marBottom w:val="300"/>
          <w:divBdr>
            <w:top w:val="single" w:sz="6" w:space="19" w:color="E4E9F2"/>
            <w:left w:val="none" w:sz="0" w:space="26" w:color="auto"/>
            <w:bottom w:val="single" w:sz="6" w:space="19" w:color="E4E9F2"/>
            <w:right w:val="none" w:sz="0" w:space="26" w:color="auto"/>
          </w:divBdr>
          <w:divsChild>
            <w:div w:id="13554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43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8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5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0064">
                  <w:marLeft w:val="0"/>
                  <w:marRight w:val="0"/>
                  <w:marTop w:val="0"/>
                  <w:marBottom w:val="0"/>
                  <w:divBdr>
                    <w:top w:val="single" w:sz="6" w:space="15" w:color="E4E9F2"/>
                    <w:left w:val="none" w:sz="0" w:space="15" w:color="auto"/>
                    <w:bottom w:val="none" w:sz="0" w:space="15" w:color="auto"/>
                    <w:right w:val="none" w:sz="0" w:space="15" w:color="auto"/>
                  </w:divBdr>
                </w:div>
                <w:div w:id="1506096270">
                  <w:marLeft w:val="0"/>
                  <w:marRight w:val="0"/>
                  <w:marTop w:val="0"/>
                  <w:marBottom w:val="0"/>
                  <w:divBdr>
                    <w:top w:val="single" w:sz="6" w:space="0" w:color="E4E9F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138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8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10E9.C90F4D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2025-08-13T08:45:00Z</dcterms:created>
  <dcterms:modified xsi:type="dcterms:W3CDTF">2025-08-19T06:28:00Z</dcterms:modified>
</cp:coreProperties>
</file>