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074" w:rsidRPr="00270074" w:rsidRDefault="00270074" w:rsidP="00270074">
      <w:pPr>
        <w:shd w:val="clear" w:color="auto" w:fill="FFFFFF"/>
        <w:spacing w:after="75" w:line="240" w:lineRule="auto"/>
        <w:jc w:val="both"/>
        <w:rPr>
          <w:rFonts w:ascii="Arial" w:eastAsia="Times New Roman" w:hAnsi="Arial" w:cs="Arial"/>
          <w:color w:val="333333"/>
          <w:sz w:val="20"/>
          <w:szCs w:val="20"/>
          <w:lang w:eastAsia="tr-TR"/>
        </w:rPr>
      </w:pPr>
      <w:r w:rsidRPr="00270074">
        <w:rPr>
          <w:rFonts w:ascii="Arial" w:eastAsia="Times New Roman" w:hAnsi="Arial" w:cs="Arial"/>
          <w:color w:val="333333"/>
          <w:sz w:val="20"/>
          <w:szCs w:val="20"/>
          <w:lang w:eastAsia="tr-TR"/>
        </w:rPr>
        <w:t>Şirketimizin 26.01.2024 tarihli Yönetim Kurulu Toplantısında;</w:t>
      </w:r>
    </w:p>
    <w:p w:rsidR="00270074" w:rsidRPr="00270074" w:rsidRDefault="00270074" w:rsidP="00270074">
      <w:pPr>
        <w:shd w:val="clear" w:color="auto" w:fill="FFFFFF"/>
        <w:spacing w:after="75" w:line="240" w:lineRule="auto"/>
        <w:jc w:val="both"/>
        <w:rPr>
          <w:rFonts w:ascii="Arial" w:eastAsia="Times New Roman" w:hAnsi="Arial" w:cs="Arial"/>
          <w:color w:val="333333"/>
          <w:sz w:val="20"/>
          <w:szCs w:val="20"/>
          <w:lang w:eastAsia="tr-TR"/>
        </w:rPr>
      </w:pPr>
      <w:r w:rsidRPr="00270074">
        <w:rPr>
          <w:rFonts w:ascii="Arial" w:eastAsia="Times New Roman" w:hAnsi="Arial" w:cs="Arial"/>
          <w:color w:val="333333"/>
          <w:sz w:val="20"/>
          <w:szCs w:val="20"/>
          <w:lang w:eastAsia="tr-TR"/>
        </w:rPr>
        <w:t>Sermaye Piyasası Kurulu'nun Özel Durumlar Tebliği'nde (II-15.1) yer alan "Geleceğe Yönelik Değerlendirmelerin Kamuya Açıklanması" kapsamında;</w:t>
      </w:r>
    </w:p>
    <w:p w:rsidR="00270074" w:rsidRPr="00270074" w:rsidRDefault="00270074" w:rsidP="00270074">
      <w:pPr>
        <w:shd w:val="clear" w:color="auto" w:fill="FFFFFF"/>
        <w:spacing w:after="75" w:line="240" w:lineRule="auto"/>
        <w:jc w:val="both"/>
        <w:rPr>
          <w:rFonts w:ascii="Arial" w:eastAsia="Times New Roman" w:hAnsi="Arial" w:cs="Arial"/>
          <w:color w:val="333333"/>
          <w:sz w:val="20"/>
          <w:szCs w:val="20"/>
          <w:lang w:eastAsia="tr-TR"/>
        </w:rPr>
      </w:pPr>
      <w:r w:rsidRPr="00270074">
        <w:rPr>
          <w:rFonts w:ascii="Arial" w:eastAsia="Times New Roman" w:hAnsi="Arial" w:cs="Arial"/>
          <w:color w:val="333333"/>
          <w:sz w:val="20"/>
          <w:szCs w:val="20"/>
          <w:lang w:eastAsia="tr-TR"/>
        </w:rPr>
        <w:t>Şirket'in 2023 yılı tahmini kapanışının ve 2024 yılı beklentilerinin aşağıda yer aldığı şekilde kamuya duyurulmasına ve beklentiler ile gerçekleşmeler arasında önemli ölçüde bir farklılık bulunması halinde, bu farklılıkların da nedenleri ile beraber kamuya açıklanmasına karar verilmiştir.</w:t>
      </w:r>
    </w:p>
    <w:p w:rsidR="00270074" w:rsidRPr="00270074" w:rsidRDefault="00270074" w:rsidP="00270074">
      <w:pPr>
        <w:shd w:val="clear" w:color="auto" w:fill="FFFFFF"/>
        <w:spacing w:after="75" w:line="240" w:lineRule="auto"/>
        <w:jc w:val="both"/>
        <w:rPr>
          <w:rFonts w:ascii="Arial" w:eastAsia="Times New Roman" w:hAnsi="Arial" w:cs="Arial"/>
          <w:color w:val="333333"/>
          <w:sz w:val="20"/>
          <w:szCs w:val="20"/>
          <w:lang w:eastAsia="tr-TR"/>
        </w:rPr>
      </w:pPr>
      <w:r w:rsidRPr="00270074">
        <w:rPr>
          <w:rFonts w:ascii="Arial" w:eastAsia="Times New Roman" w:hAnsi="Arial" w:cs="Arial"/>
          <w:color w:val="333333"/>
          <w:sz w:val="20"/>
          <w:szCs w:val="20"/>
          <w:lang w:eastAsia="tr-TR"/>
        </w:rPr>
        <w:t>Saygılarımızla,</w:t>
      </w:r>
    </w:p>
    <w:p w:rsidR="00270074" w:rsidRPr="00270074" w:rsidRDefault="00270074" w:rsidP="00270074">
      <w:pPr>
        <w:shd w:val="clear" w:color="auto" w:fill="FFFFFF"/>
        <w:spacing w:after="75" w:line="240" w:lineRule="auto"/>
        <w:jc w:val="both"/>
        <w:rPr>
          <w:rFonts w:ascii="Arial" w:eastAsia="Times New Roman" w:hAnsi="Arial" w:cs="Arial"/>
          <w:color w:val="333333"/>
          <w:sz w:val="20"/>
          <w:szCs w:val="20"/>
          <w:lang w:eastAsia="tr-TR"/>
        </w:rPr>
      </w:pPr>
      <w:r w:rsidRPr="00270074">
        <w:rPr>
          <w:rFonts w:ascii="Arial" w:eastAsia="Times New Roman" w:hAnsi="Arial" w:cs="Arial"/>
          <w:color w:val="333333"/>
          <w:sz w:val="20"/>
          <w:szCs w:val="20"/>
          <w:lang w:eastAsia="tr-TR"/>
        </w:rPr>
        <w:t>FUZUL GAYRİMENKUL YATIRIM ORTAKLIĞI A.Ş.     </w:t>
      </w:r>
    </w:p>
    <w:p w:rsidR="00270074" w:rsidRPr="00270074" w:rsidRDefault="00270074" w:rsidP="00270074">
      <w:pPr>
        <w:shd w:val="clear" w:color="auto" w:fill="FFFFFF"/>
        <w:spacing w:after="75" w:line="240" w:lineRule="auto"/>
        <w:jc w:val="both"/>
        <w:rPr>
          <w:rFonts w:ascii="Arial" w:eastAsia="Times New Roman" w:hAnsi="Arial" w:cs="Arial"/>
          <w:color w:val="333333"/>
          <w:sz w:val="20"/>
          <w:szCs w:val="20"/>
          <w:lang w:eastAsia="tr-TR"/>
        </w:rPr>
      </w:pPr>
      <w:r w:rsidRPr="00270074">
        <w:rPr>
          <w:rFonts w:ascii="Arial" w:eastAsia="Times New Roman" w:hAnsi="Arial" w:cs="Arial"/>
          <w:color w:val="333333"/>
          <w:sz w:val="20"/>
          <w:szCs w:val="20"/>
          <w:lang w:eastAsia="tr-TR"/>
        </w:rPr>
        <w:br/>
      </w:r>
    </w:p>
    <w:p w:rsidR="00270074" w:rsidRPr="00270074" w:rsidRDefault="00270074" w:rsidP="00270074">
      <w:pPr>
        <w:shd w:val="clear" w:color="auto" w:fill="FFFFFF"/>
        <w:spacing w:after="75" w:line="240" w:lineRule="auto"/>
        <w:jc w:val="both"/>
        <w:rPr>
          <w:rFonts w:ascii="Arial" w:eastAsia="Times New Roman" w:hAnsi="Arial" w:cs="Arial"/>
          <w:color w:val="333333"/>
          <w:sz w:val="20"/>
          <w:szCs w:val="20"/>
          <w:lang w:eastAsia="tr-TR"/>
        </w:rPr>
      </w:pPr>
      <w:r w:rsidRPr="00270074">
        <w:rPr>
          <w:rFonts w:ascii="Arial" w:eastAsia="Times New Roman" w:hAnsi="Arial" w:cs="Arial"/>
          <w:b/>
          <w:bCs/>
          <w:color w:val="333333"/>
          <w:sz w:val="20"/>
          <w:szCs w:val="20"/>
          <w:u w:val="single"/>
          <w:lang w:eastAsia="tr-TR"/>
        </w:rPr>
        <w:t>Avrasya 2 ve Avrasya 3 Projeleri (Yıllık Satış Artışı %24,03)</w:t>
      </w:r>
    </w:p>
    <w:p w:rsidR="00270074" w:rsidRPr="00270074" w:rsidRDefault="00270074" w:rsidP="00270074">
      <w:pPr>
        <w:shd w:val="clear" w:color="auto" w:fill="FFFFFF"/>
        <w:spacing w:after="75" w:line="240" w:lineRule="auto"/>
        <w:jc w:val="both"/>
        <w:rPr>
          <w:rFonts w:ascii="Arial" w:eastAsia="Times New Roman" w:hAnsi="Arial" w:cs="Arial"/>
          <w:color w:val="333333"/>
          <w:sz w:val="20"/>
          <w:szCs w:val="20"/>
          <w:lang w:eastAsia="tr-TR"/>
        </w:rPr>
      </w:pPr>
      <w:r w:rsidRPr="00270074">
        <w:rPr>
          <w:rFonts w:ascii="Arial" w:eastAsia="Times New Roman" w:hAnsi="Arial" w:cs="Arial"/>
          <w:color w:val="333333"/>
          <w:sz w:val="20"/>
          <w:szCs w:val="20"/>
          <w:lang w:eastAsia="tr-TR"/>
        </w:rPr>
        <w:t>    959.254.054-TL    (2023 Yılı Gerçekleşen Satış Hasılatı)</w:t>
      </w:r>
    </w:p>
    <w:p w:rsidR="00270074" w:rsidRPr="00270074" w:rsidRDefault="00270074" w:rsidP="00270074">
      <w:pPr>
        <w:shd w:val="clear" w:color="auto" w:fill="FFFFFF"/>
        <w:spacing w:after="75" w:line="240" w:lineRule="auto"/>
        <w:jc w:val="both"/>
        <w:rPr>
          <w:rFonts w:ascii="Arial" w:eastAsia="Times New Roman" w:hAnsi="Arial" w:cs="Arial"/>
          <w:color w:val="333333"/>
          <w:sz w:val="20"/>
          <w:szCs w:val="20"/>
          <w:lang w:eastAsia="tr-TR"/>
        </w:rPr>
      </w:pPr>
      <w:r w:rsidRPr="00270074">
        <w:rPr>
          <w:rFonts w:ascii="Arial" w:eastAsia="Times New Roman" w:hAnsi="Arial" w:cs="Arial"/>
          <w:color w:val="333333"/>
          <w:sz w:val="20"/>
          <w:szCs w:val="20"/>
          <w:lang w:eastAsia="tr-TR"/>
        </w:rPr>
        <w:t> 1.189.752.000-TL     (2024 Yılı Beklenen Satış Hasılatı)</w:t>
      </w:r>
    </w:p>
    <w:p w:rsidR="00270074" w:rsidRPr="00270074" w:rsidRDefault="00270074" w:rsidP="00270074">
      <w:pPr>
        <w:shd w:val="clear" w:color="auto" w:fill="FFFFFF"/>
        <w:spacing w:after="75" w:line="240" w:lineRule="auto"/>
        <w:jc w:val="both"/>
        <w:rPr>
          <w:rFonts w:ascii="Arial" w:eastAsia="Times New Roman" w:hAnsi="Arial" w:cs="Arial"/>
          <w:color w:val="333333"/>
          <w:sz w:val="20"/>
          <w:szCs w:val="20"/>
          <w:lang w:eastAsia="tr-TR"/>
        </w:rPr>
      </w:pPr>
      <w:r w:rsidRPr="00270074">
        <w:rPr>
          <w:rFonts w:ascii="Arial" w:eastAsia="Times New Roman" w:hAnsi="Arial" w:cs="Arial"/>
          <w:color w:val="333333"/>
          <w:sz w:val="20"/>
          <w:szCs w:val="20"/>
          <w:lang w:eastAsia="tr-TR"/>
        </w:rPr>
        <w:t>            </w:t>
      </w:r>
    </w:p>
    <w:p w:rsidR="00270074" w:rsidRPr="00270074" w:rsidRDefault="00270074" w:rsidP="00270074">
      <w:pPr>
        <w:shd w:val="clear" w:color="auto" w:fill="FFFFFF"/>
        <w:spacing w:after="75" w:line="240" w:lineRule="auto"/>
        <w:jc w:val="both"/>
        <w:rPr>
          <w:rFonts w:ascii="Arial" w:eastAsia="Times New Roman" w:hAnsi="Arial" w:cs="Arial"/>
          <w:color w:val="333333"/>
          <w:sz w:val="20"/>
          <w:szCs w:val="20"/>
          <w:lang w:eastAsia="tr-TR"/>
        </w:rPr>
      </w:pPr>
      <w:r w:rsidRPr="00270074">
        <w:rPr>
          <w:rFonts w:ascii="Arial" w:eastAsia="Times New Roman" w:hAnsi="Arial" w:cs="Arial"/>
          <w:b/>
          <w:bCs/>
          <w:color w:val="333333"/>
          <w:sz w:val="20"/>
          <w:szCs w:val="20"/>
          <w:u w:val="single"/>
          <w:lang w:eastAsia="tr-TR"/>
        </w:rPr>
        <w:t>Barbaros 48 Projesi ve Diğer Stoklar (Yıllık Satış Artışı %46,53)</w:t>
      </w:r>
    </w:p>
    <w:p w:rsidR="00270074" w:rsidRPr="00270074" w:rsidRDefault="00270074" w:rsidP="00270074">
      <w:pPr>
        <w:shd w:val="clear" w:color="auto" w:fill="FFFFFF"/>
        <w:spacing w:after="75" w:line="240" w:lineRule="auto"/>
        <w:jc w:val="both"/>
        <w:rPr>
          <w:rFonts w:ascii="Arial" w:eastAsia="Times New Roman" w:hAnsi="Arial" w:cs="Arial"/>
          <w:color w:val="333333"/>
          <w:sz w:val="20"/>
          <w:szCs w:val="20"/>
          <w:lang w:eastAsia="tr-TR"/>
        </w:rPr>
      </w:pPr>
      <w:r w:rsidRPr="00270074">
        <w:rPr>
          <w:rFonts w:ascii="Arial" w:eastAsia="Times New Roman" w:hAnsi="Arial" w:cs="Arial"/>
          <w:color w:val="333333"/>
          <w:sz w:val="20"/>
          <w:szCs w:val="20"/>
          <w:lang w:eastAsia="tr-TR"/>
        </w:rPr>
        <w:t>    817.667.894-TL    (2023 Yılı Gerçekleşen Satış Hasılatı)</w:t>
      </w:r>
    </w:p>
    <w:p w:rsidR="00270074" w:rsidRPr="00270074" w:rsidRDefault="00270074" w:rsidP="00270074">
      <w:pPr>
        <w:shd w:val="clear" w:color="auto" w:fill="FFFFFF"/>
        <w:spacing w:after="75" w:line="240" w:lineRule="auto"/>
        <w:jc w:val="both"/>
        <w:rPr>
          <w:rFonts w:ascii="Arial" w:eastAsia="Times New Roman" w:hAnsi="Arial" w:cs="Arial"/>
          <w:color w:val="333333"/>
          <w:sz w:val="20"/>
          <w:szCs w:val="20"/>
          <w:lang w:eastAsia="tr-TR"/>
        </w:rPr>
      </w:pPr>
      <w:r w:rsidRPr="00270074">
        <w:rPr>
          <w:rFonts w:ascii="Arial" w:eastAsia="Times New Roman" w:hAnsi="Arial" w:cs="Arial"/>
          <w:color w:val="333333"/>
          <w:sz w:val="20"/>
          <w:szCs w:val="20"/>
          <w:lang w:eastAsia="tr-TR"/>
        </w:rPr>
        <w:t>1.198.118.000-TL     (2024 Yılı Beklenen Satış Hasılatı)</w:t>
      </w:r>
    </w:p>
    <w:p w:rsidR="005874D2" w:rsidRDefault="005874D2">
      <w:bookmarkStart w:id="0" w:name="_GoBack"/>
      <w:bookmarkEnd w:id="0"/>
    </w:p>
    <w:sectPr w:rsidR="005874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9AB"/>
    <w:rsid w:val="001649AB"/>
    <w:rsid w:val="00270074"/>
    <w:rsid w:val="005874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11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Faruk Öztürk</dc:creator>
  <cp:keywords/>
  <dc:description/>
  <cp:lastModifiedBy>Ömer Faruk Öztürk</cp:lastModifiedBy>
  <cp:revision>3</cp:revision>
  <dcterms:created xsi:type="dcterms:W3CDTF">2024-02-15T11:26:00Z</dcterms:created>
  <dcterms:modified xsi:type="dcterms:W3CDTF">2024-02-15T11:26:00Z</dcterms:modified>
</cp:coreProperties>
</file>