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A6" w:rsidRPr="00EA3DA6" w:rsidRDefault="00EA3DA6" w:rsidP="00EA3DA6">
      <w:pPr>
        <w:spacing w:after="225" w:line="240" w:lineRule="auto"/>
        <w:ind w:left="150" w:right="150"/>
        <w:textAlignment w:val="baseline"/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</w:pPr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2023 yılında Eczacıbaşı İlaç 2,740 </w:t>
      </w:r>
      <w:proofErr w:type="spellStart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mn</w:t>
      </w:r>
      <w:proofErr w:type="spellEnd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TL net kâr açıkladı. Net kâr geçen yıl aynı döneme göre -8.16%  küçüldü.  Bu dönemde şirket 6,479 </w:t>
      </w:r>
      <w:proofErr w:type="spellStart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mn</w:t>
      </w:r>
      <w:proofErr w:type="spellEnd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TL satış geliri elde ederken satış gelirleri yıllık 86.94% artış gösterdi. FAVÖK 802 milyon TL oldu  ve yıllık bazda </w:t>
      </w:r>
      <w:proofErr w:type="gramStart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213.33</w:t>
      </w:r>
      <w:proofErr w:type="gramEnd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%</w:t>
      </w:r>
      <w:bookmarkStart w:id="0" w:name="_GoBack"/>
      <w:bookmarkEnd w:id="0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arttı.</w:t>
      </w:r>
    </w:p>
    <w:p w:rsidR="00EA3DA6" w:rsidRPr="00EA3DA6" w:rsidRDefault="00EA3DA6" w:rsidP="00EA3DA6">
      <w:pPr>
        <w:spacing w:after="225" w:line="240" w:lineRule="auto"/>
        <w:ind w:left="150" w:right="150"/>
        <w:textAlignment w:val="baseline"/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</w:pPr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ECILC 2023 yılında 33.76% brüt kâr </w:t>
      </w:r>
      <w:proofErr w:type="gramStart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marjı</w:t>
      </w:r>
      <w:proofErr w:type="gramEnd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ile çalıştı. Geçen yıl aynı dönemde 31.08% olmuştu. </w:t>
      </w:r>
      <w:proofErr w:type="spellStart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Favök</w:t>
      </w:r>
      <w:proofErr w:type="spellEnd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</w:t>
      </w:r>
      <w:proofErr w:type="gramStart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marjı</w:t>
      </w:r>
      <w:proofErr w:type="gramEnd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12.38% seviyesinde olurken, geçen yıl 7.39% olmuştu. Net kâr </w:t>
      </w:r>
      <w:proofErr w:type="gramStart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marjı</w:t>
      </w:r>
      <w:proofErr w:type="gramEnd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42.28% oldu. Geçen yıl aynı dönemde 86.07% olmuştu.</w:t>
      </w:r>
    </w:p>
    <w:p w:rsidR="00EA3DA6" w:rsidRPr="00EA3DA6" w:rsidRDefault="00EA3DA6" w:rsidP="00EA3DA6">
      <w:pPr>
        <w:spacing w:after="225" w:line="240" w:lineRule="auto"/>
        <w:ind w:left="150" w:right="150"/>
        <w:textAlignment w:val="baseline"/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</w:pPr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Aktif kârlılığı 6.67% olurken, geçen yıl aynı dönemde 12.24% olmuştu. Sektör ortalaması 12.13% seviyesinde bulunuyor.        </w:t>
      </w:r>
    </w:p>
    <w:p w:rsidR="00EA3DA6" w:rsidRPr="00EA3DA6" w:rsidRDefault="00EA3DA6" w:rsidP="00EA3DA6">
      <w:pPr>
        <w:spacing w:after="225" w:line="240" w:lineRule="auto"/>
        <w:ind w:left="150" w:right="150"/>
        <w:textAlignment w:val="baseline"/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</w:pPr>
      <w:proofErr w:type="spellStart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Özsermaye</w:t>
      </w:r>
      <w:proofErr w:type="spellEnd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kârlılığı 8.29% olurken, geçen yıl aynı dönemde 14.82% olmuştu. Sektör ortalaması 22.93% seviyesinde bulunuyor. İhracat oranı 16.75% seviyesinde gerçekleşti. 2022 yılının tamamında ihracat oranı 4.89% olmuştu.</w:t>
      </w:r>
    </w:p>
    <w:p w:rsidR="00EA3DA6" w:rsidRPr="00EA3DA6" w:rsidRDefault="00EA3DA6" w:rsidP="00EA3DA6">
      <w:pPr>
        <w:spacing w:after="225" w:line="240" w:lineRule="auto"/>
        <w:ind w:left="150" w:right="150"/>
        <w:textAlignment w:val="baseline"/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</w:pPr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Bu dönemin sonunda şirketin 864 </w:t>
      </w:r>
      <w:proofErr w:type="spellStart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mn</w:t>
      </w:r>
      <w:proofErr w:type="spellEnd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TL net borcu bulunuyor. 2022 yılının sonunda şirketin 1,668 </w:t>
      </w:r>
      <w:proofErr w:type="spellStart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mn</w:t>
      </w:r>
      <w:proofErr w:type="spellEnd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TL borcu bulunuyordu. Net borç / FAVÖK oranı yıllık </w:t>
      </w:r>
      <w:proofErr w:type="gramStart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bazda</w:t>
      </w:r>
      <w:proofErr w:type="gramEnd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1.08x seviyesinde bulunuyor. Cari oran 1.61x ve likidite oranı ise 1.09x seviyelerinde. Sektör ortalaması cari oran için 1.90x ve likidite oranı için 1.37x seviyesinde bulunuyor.                                                                                                        </w:t>
      </w:r>
    </w:p>
    <w:p w:rsidR="00EA3DA6" w:rsidRPr="00EA3DA6" w:rsidRDefault="00EA3DA6" w:rsidP="00EA3DA6">
      <w:pPr>
        <w:spacing w:after="225" w:line="240" w:lineRule="auto"/>
        <w:ind w:left="150" w:right="150"/>
        <w:textAlignment w:val="baseline"/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</w:pPr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Şirketin borç kaynak oranı 19.89% seviyesinde. Geçen yıl aynı dönemde 19.13% seviyesindeydi. Sektör ortalaması borç kaynak oranı için 42.78% seviyesinde bulunuyor.</w:t>
      </w:r>
    </w:p>
    <w:p w:rsidR="00EA3DA6" w:rsidRPr="00EA3DA6" w:rsidRDefault="00EA3DA6" w:rsidP="00EA3DA6">
      <w:pPr>
        <w:spacing w:after="225" w:line="240" w:lineRule="auto"/>
        <w:ind w:left="150" w:right="150"/>
        <w:textAlignment w:val="baseline"/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</w:pPr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Şirketin nakit değerleri 2022 yılsonuna göre 1,091.2 milyon TL artarak 2,007.7 milyon TL oldu. İşletme faaliyetlerinden </w:t>
      </w:r>
      <w:proofErr w:type="gramStart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1770.6</w:t>
      </w:r>
      <w:proofErr w:type="gramEnd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milyon TL nakit girişi sağlandı. Yatırım faaliyetlerinden </w:t>
      </w:r>
      <w:proofErr w:type="gramStart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242.3</w:t>
      </w:r>
      <w:proofErr w:type="gramEnd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milyon TL nakit girişi olurken, finansman faaliyetlerinden 313.3 milyon TL nakit çıkışı sağlandı.     </w:t>
      </w:r>
    </w:p>
    <w:p w:rsidR="00EA3DA6" w:rsidRPr="00EA3DA6" w:rsidRDefault="00EA3DA6" w:rsidP="00EA3DA6">
      <w:pPr>
        <w:spacing w:after="225" w:line="240" w:lineRule="auto"/>
        <w:ind w:left="150" w:right="150"/>
        <w:textAlignment w:val="baseline"/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</w:pPr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Finansman giderlerinin net satışlara oranı 29.34% olurken, geçen yıl aynı dönemde 8.60% olmuştu.</w:t>
      </w:r>
    </w:p>
    <w:p w:rsidR="00EA3DA6" w:rsidRPr="00EA3DA6" w:rsidRDefault="00EA3DA6" w:rsidP="00EA3DA6">
      <w:pPr>
        <w:spacing w:after="300" w:line="240" w:lineRule="auto"/>
        <w:ind w:left="150" w:right="150"/>
        <w:textAlignment w:val="baseline"/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</w:pPr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Şirket son kapanışa göre 36,094 </w:t>
      </w:r>
      <w:proofErr w:type="spellStart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mn</w:t>
      </w:r>
      <w:proofErr w:type="spellEnd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TL firma değerinde bulunuyor. Son duruma göre 13.82x F/K (sektör 31.94x), 36.64x FD/FAVÖK (sektör 22.25x) ve 1.89x PD/DD (sektör3.27x) piyasa çarpanlarıyla işlem görüyor. Özellikle </w:t>
      </w:r>
      <w:proofErr w:type="spellStart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Fd</w:t>
      </w:r>
      <w:proofErr w:type="spellEnd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/</w:t>
      </w:r>
      <w:proofErr w:type="spellStart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Favök</w:t>
      </w:r>
      <w:proofErr w:type="spellEnd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oranı oldukça yüksek seviyede bulunuyor. Açıklanan sonuçları </w:t>
      </w:r>
      <w:proofErr w:type="gramStart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nötr</w:t>
      </w:r>
      <w:proofErr w:type="gramEnd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 xml:space="preserve"> olarak </w:t>
      </w:r>
      <w:proofErr w:type="gramStart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değerlendiriyoruz</w:t>
      </w:r>
      <w:proofErr w:type="gramEnd"/>
      <w:r w:rsidRPr="00EA3DA6">
        <w:rPr>
          <w:rFonts w:ascii="Arial" w:eastAsia="Times New Roman" w:hAnsi="Arial" w:cs="Arial"/>
          <w:color w:val="000000"/>
          <w:spacing w:val="-1"/>
          <w:sz w:val="24"/>
          <w:szCs w:val="24"/>
          <w:lang w:eastAsia="tr-TR"/>
        </w:rPr>
        <w:t>.</w:t>
      </w:r>
    </w:p>
    <w:p w:rsidR="00453903" w:rsidRPr="00EA3DA6" w:rsidRDefault="00453903" w:rsidP="00EA3DA6"/>
    <w:sectPr w:rsidR="00453903" w:rsidRPr="00EA3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F0"/>
    <w:rsid w:val="000D0CF0"/>
    <w:rsid w:val="00453903"/>
    <w:rsid w:val="008228E0"/>
    <w:rsid w:val="00EA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2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228E0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8228E0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8228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2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228E0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8228E0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8228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Öztürk</dc:creator>
  <cp:keywords/>
  <dc:description/>
  <cp:lastModifiedBy>Ömer Faruk Öztürk</cp:lastModifiedBy>
  <cp:revision>5</cp:revision>
  <dcterms:created xsi:type="dcterms:W3CDTF">2024-04-18T17:34:00Z</dcterms:created>
  <dcterms:modified xsi:type="dcterms:W3CDTF">2024-04-18T17:37:00Z</dcterms:modified>
</cp:coreProperties>
</file>