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E0" w:rsidRDefault="008228E0" w:rsidP="008228E0">
      <w:pPr>
        <w:pStyle w:val="NormalWeb"/>
        <w:spacing w:before="0" w:beforeAutospacing="0" w:after="0" w:afterAutospacing="0"/>
        <w:ind w:left="150" w:right="150"/>
        <w:textAlignment w:val="baseline"/>
        <w:rPr>
          <w:rFonts w:ascii="Arial" w:hAnsi="Arial" w:cs="Arial"/>
          <w:color w:val="000000"/>
          <w:spacing w:val="-1"/>
        </w:rPr>
      </w:pPr>
      <w:bookmarkStart w:id="0" w:name="_GoBack"/>
      <w:bookmarkEnd w:id="0"/>
      <w:r>
        <w:rPr>
          <w:rFonts w:ascii="Arial" w:hAnsi="Arial" w:cs="Arial"/>
          <w:color w:val="000000"/>
          <w:spacing w:val="-1"/>
        </w:rPr>
        <w:t xml:space="preserve">2023 yılında 16,422 </w:t>
      </w:r>
      <w:proofErr w:type="spellStart"/>
      <w:r>
        <w:rPr>
          <w:rFonts w:ascii="Arial" w:hAnsi="Arial" w:cs="Arial"/>
          <w:color w:val="000000"/>
          <w:spacing w:val="-1"/>
        </w:rPr>
        <w:t>mn</w:t>
      </w:r>
      <w:proofErr w:type="spellEnd"/>
      <w:r>
        <w:rPr>
          <w:rFonts w:ascii="Arial" w:hAnsi="Arial" w:cs="Arial"/>
          <w:color w:val="000000"/>
          <w:spacing w:val="-1"/>
        </w:rPr>
        <w:t xml:space="preserve"> TL net kâr açıkladı. Net karda vergi gelirlerinin etkisi büyük oldu. Net kâr geçen yıl aynı döneme göre </w:t>
      </w:r>
      <w:proofErr w:type="gramStart"/>
      <w:r>
        <w:rPr>
          <w:rFonts w:ascii="Arial" w:hAnsi="Arial" w:cs="Arial"/>
          <w:color w:val="000000"/>
          <w:spacing w:val="-1"/>
        </w:rPr>
        <w:t>137.66</w:t>
      </w:r>
      <w:proofErr w:type="gramEnd"/>
      <w:r>
        <w:rPr>
          <w:rFonts w:ascii="Arial" w:hAnsi="Arial" w:cs="Arial"/>
          <w:color w:val="000000"/>
          <w:spacing w:val="-1"/>
        </w:rPr>
        <w:t xml:space="preserve">%  büyüdü.  Bu dönemde şirket 100,185 </w:t>
      </w:r>
      <w:proofErr w:type="spellStart"/>
      <w:r>
        <w:rPr>
          <w:rFonts w:ascii="Arial" w:hAnsi="Arial" w:cs="Arial"/>
          <w:color w:val="000000"/>
          <w:spacing w:val="-1"/>
        </w:rPr>
        <w:t>mn</w:t>
      </w:r>
      <w:proofErr w:type="spellEnd"/>
      <w:r>
        <w:rPr>
          <w:rFonts w:ascii="Arial" w:hAnsi="Arial" w:cs="Arial"/>
          <w:color w:val="000000"/>
          <w:spacing w:val="-1"/>
        </w:rPr>
        <w:t xml:space="preserve"> TL satış geliri elde ederken satış gelirleri yıllık 9.61% artış gösterdi. FAVÖK 32,646 milyon TL oldu  ve yıllık </w:t>
      </w:r>
      <w:proofErr w:type="gramStart"/>
      <w:r>
        <w:rPr>
          <w:rFonts w:ascii="Arial" w:hAnsi="Arial" w:cs="Arial"/>
          <w:color w:val="000000"/>
          <w:spacing w:val="-1"/>
        </w:rPr>
        <w:t>bazda</w:t>
      </w:r>
      <w:proofErr w:type="gramEnd"/>
      <w:r>
        <w:rPr>
          <w:rFonts w:ascii="Arial" w:hAnsi="Arial" w:cs="Arial"/>
          <w:color w:val="000000"/>
          <w:spacing w:val="-1"/>
        </w:rPr>
        <w:t xml:space="preserve"> %1 arttı.</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2023 yılında şirket 21.83% brüt kâr </w:t>
      </w:r>
      <w:proofErr w:type="gramStart"/>
      <w:r>
        <w:rPr>
          <w:rFonts w:ascii="Arial" w:hAnsi="Arial" w:cs="Arial"/>
          <w:color w:val="000000"/>
          <w:spacing w:val="-1"/>
        </w:rPr>
        <w:t>marjı</w:t>
      </w:r>
      <w:proofErr w:type="gramEnd"/>
      <w:r>
        <w:rPr>
          <w:rFonts w:ascii="Arial" w:hAnsi="Arial" w:cs="Arial"/>
          <w:color w:val="000000"/>
          <w:spacing w:val="-1"/>
        </w:rPr>
        <w:t xml:space="preserve"> ile çalıştı. Geçen yıl aynı dönemde 22.99% olmuştu. </w:t>
      </w:r>
      <w:proofErr w:type="spellStart"/>
      <w:r>
        <w:rPr>
          <w:rFonts w:ascii="Arial" w:hAnsi="Arial" w:cs="Arial"/>
          <w:color w:val="000000"/>
          <w:spacing w:val="-1"/>
        </w:rPr>
        <w:t>Favök</w:t>
      </w:r>
      <w:proofErr w:type="spellEnd"/>
      <w:r>
        <w:rPr>
          <w:rFonts w:ascii="Arial" w:hAnsi="Arial" w:cs="Arial"/>
          <w:color w:val="000000"/>
          <w:spacing w:val="-1"/>
        </w:rPr>
        <w:t xml:space="preserve"> </w:t>
      </w:r>
      <w:proofErr w:type="gramStart"/>
      <w:r>
        <w:rPr>
          <w:rFonts w:ascii="Arial" w:hAnsi="Arial" w:cs="Arial"/>
          <w:color w:val="000000"/>
          <w:spacing w:val="-1"/>
        </w:rPr>
        <w:t>marjı</w:t>
      </w:r>
      <w:proofErr w:type="gramEnd"/>
      <w:r>
        <w:rPr>
          <w:rFonts w:ascii="Arial" w:hAnsi="Arial" w:cs="Arial"/>
          <w:color w:val="000000"/>
          <w:spacing w:val="-1"/>
        </w:rPr>
        <w:t xml:space="preserve"> 32.59% seviyesinde olurken, geçen yıl 35.44% olmuştu. Net kâr </w:t>
      </w:r>
      <w:proofErr w:type="gramStart"/>
      <w:r>
        <w:rPr>
          <w:rFonts w:ascii="Arial" w:hAnsi="Arial" w:cs="Arial"/>
          <w:color w:val="000000"/>
          <w:spacing w:val="-1"/>
        </w:rPr>
        <w:t>marjı</w:t>
      </w:r>
      <w:proofErr w:type="gramEnd"/>
      <w:r>
        <w:rPr>
          <w:rFonts w:ascii="Arial" w:hAnsi="Arial" w:cs="Arial"/>
          <w:color w:val="000000"/>
          <w:spacing w:val="-1"/>
        </w:rPr>
        <w:t xml:space="preserve"> 16.39% oldu. Geçen yıl aynı dönemde 7.56% olmuştu.</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Aktif kârlılığı 8.60% olurken, geçen yıl aynı dönemde 5.63% olmuştu. Sektör ortalaması 5.73% seviyesinde bulunuyor. </w:t>
      </w:r>
      <w:proofErr w:type="spellStart"/>
      <w:r>
        <w:rPr>
          <w:rFonts w:ascii="Arial" w:hAnsi="Arial" w:cs="Arial"/>
          <w:color w:val="000000"/>
          <w:spacing w:val="-1"/>
        </w:rPr>
        <w:t>Özsermaye</w:t>
      </w:r>
      <w:proofErr w:type="spellEnd"/>
      <w:r>
        <w:rPr>
          <w:rFonts w:ascii="Arial" w:hAnsi="Arial" w:cs="Arial"/>
          <w:color w:val="000000"/>
          <w:spacing w:val="-1"/>
        </w:rPr>
        <w:t xml:space="preserve"> kârlılığı 18.34% olurken, geçen yıl aynı dönemde 14.54% olmuştu. Sektör ortalaması 14.24% seviyesinde bulunuyor.</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2023 yılının sonunda şirketin 44,460 </w:t>
      </w:r>
      <w:proofErr w:type="spellStart"/>
      <w:r>
        <w:rPr>
          <w:rFonts w:ascii="Arial" w:hAnsi="Arial" w:cs="Arial"/>
          <w:color w:val="000000"/>
          <w:spacing w:val="-1"/>
        </w:rPr>
        <w:t>mn</w:t>
      </w:r>
      <w:proofErr w:type="spellEnd"/>
      <w:r>
        <w:rPr>
          <w:rFonts w:ascii="Arial" w:hAnsi="Arial" w:cs="Arial"/>
          <w:color w:val="000000"/>
          <w:spacing w:val="-1"/>
        </w:rPr>
        <w:t xml:space="preserve"> TL net borcu bulunuyor. 2022 yılının sonunda şirketin 52,587 </w:t>
      </w:r>
      <w:proofErr w:type="spellStart"/>
      <w:r>
        <w:rPr>
          <w:rFonts w:ascii="Arial" w:hAnsi="Arial" w:cs="Arial"/>
          <w:color w:val="000000"/>
          <w:spacing w:val="-1"/>
        </w:rPr>
        <w:t>mn</w:t>
      </w:r>
      <w:proofErr w:type="spellEnd"/>
      <w:r>
        <w:rPr>
          <w:rFonts w:ascii="Arial" w:hAnsi="Arial" w:cs="Arial"/>
          <w:color w:val="000000"/>
          <w:spacing w:val="-1"/>
        </w:rPr>
        <w:t xml:space="preserve"> TL borcu bulunuyordu. Net borç / FAVÖK oranı yıllık </w:t>
      </w:r>
      <w:proofErr w:type="gramStart"/>
      <w:r>
        <w:rPr>
          <w:rFonts w:ascii="Arial" w:hAnsi="Arial" w:cs="Arial"/>
          <w:color w:val="000000"/>
          <w:spacing w:val="-1"/>
        </w:rPr>
        <w:t>bazda</w:t>
      </w:r>
      <w:proofErr w:type="gramEnd"/>
      <w:r>
        <w:rPr>
          <w:rFonts w:ascii="Arial" w:hAnsi="Arial" w:cs="Arial"/>
          <w:color w:val="000000"/>
          <w:spacing w:val="-1"/>
        </w:rPr>
        <w:t xml:space="preserve"> 1.36x seviyesinde bulunuyor. Cari oran 0.85x ve likidite oranı ise 0.72x seviyelerinde. Sektör ortalaması cari oran için 1.63x ve likidite oranı için 1.29x seviyesinde bulunuyor.</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Şirketin borç kaynak oranı 49.52% seviyesinde. Geçen yıl aynı dönemde 56.87% seviyesindeydi. Sektör ortalaması borç kaynak oranı için 54.10% seviyesinde bulunuyor.</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Şirketin nakit değerleri 2022 yılsonuna göre 5,146.6 milyon TL artarak 13,591.0 milyon TL oldu. İşletme faaliyetlerinden 29,173.7 milyon TL nakit girişi sağlandı. Yatırım faaliyetlerinden -25,025.3 milyon TL nakit çıkışı olurken, finansman faaliyetlerinden 6,735.8 milyon TL nakit girişi sağlandı.  </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Finansman giderlerinin net satışlara oranı 19.49% olurken, geçen yıl aynı dönemde 20.97% olmuştu.</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Nakit döndürme süresi bu dönemin sonunda -21.70 gün olarak gerçekleşti. Sektör ortalaması ise -21.42 gün seviyesinde bulunuyor.</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Şirket son kapanışa göre 172,661 </w:t>
      </w:r>
      <w:proofErr w:type="spellStart"/>
      <w:r>
        <w:rPr>
          <w:rFonts w:ascii="Arial" w:hAnsi="Arial" w:cs="Arial"/>
          <w:color w:val="000000"/>
          <w:spacing w:val="-1"/>
        </w:rPr>
        <w:t>mn</w:t>
      </w:r>
      <w:proofErr w:type="spellEnd"/>
      <w:r>
        <w:rPr>
          <w:rFonts w:ascii="Arial" w:hAnsi="Arial" w:cs="Arial"/>
          <w:color w:val="000000"/>
          <w:spacing w:val="-1"/>
        </w:rPr>
        <w:t xml:space="preserve"> TL firma değerinde bulunuyor. Son duruma göre 15.62x F/K (sektör 13.52x), 4.59x FD/FAVÖK (sektör 4.13x) ve 4.01x PD/DD (sektör1.77x) piyasa çarpanlarıyla işlem görüyor.</w:t>
      </w:r>
    </w:p>
    <w:p w:rsidR="008228E0" w:rsidRDefault="008228E0" w:rsidP="008228E0">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t>2024 Beklentileri</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Bununla birlikte TTKOM 2024 beklentilerini açıkladı. Buna göre TMS29 </w:t>
      </w:r>
      <w:proofErr w:type="gramStart"/>
      <w:r>
        <w:rPr>
          <w:rFonts w:ascii="Arial" w:hAnsi="Arial" w:cs="Arial"/>
          <w:color w:val="000000"/>
          <w:spacing w:val="-1"/>
        </w:rPr>
        <w:t>dahil</w:t>
      </w:r>
      <w:proofErr w:type="gramEnd"/>
      <w:r>
        <w:rPr>
          <w:rFonts w:ascii="Arial" w:hAnsi="Arial" w:cs="Arial"/>
          <w:color w:val="000000"/>
          <w:spacing w:val="-1"/>
        </w:rPr>
        <w:t xml:space="preserve"> sonuçlara göre Şirket 2023 yılında %11-13 gelir büyümesi beklerken, FAVÖK Marjının %36-38 seviyelerinde olması bekleniyor. Yatırım harcamalarının Satışlara oranının ise %27-28 seviyelerinde olmasını bekliyor.</w:t>
      </w:r>
    </w:p>
    <w:p w:rsidR="008228E0" w:rsidRDefault="008228E0" w:rsidP="008228E0">
      <w:pPr>
        <w:pStyle w:val="NormalWeb"/>
        <w:spacing w:before="0" w:beforeAutospacing="0" w:after="0" w:afterAutospacing="0"/>
        <w:ind w:left="150" w:right="150"/>
        <w:textAlignment w:val="baseline"/>
        <w:rPr>
          <w:rFonts w:ascii="Arial" w:hAnsi="Arial" w:cs="Arial"/>
          <w:color w:val="000000"/>
          <w:spacing w:val="-1"/>
        </w:rPr>
      </w:pPr>
      <w:r>
        <w:rPr>
          <w:rStyle w:val="Gl"/>
          <w:rFonts w:ascii="inherit" w:hAnsi="inherit" w:cs="Arial"/>
          <w:color w:val="000000"/>
          <w:spacing w:val="-1"/>
          <w:bdr w:val="none" w:sz="0" w:space="0" w:color="auto" w:frame="1"/>
        </w:rPr>
        <w:t>TMS29 Hariç Sonuçlar Beklentilerin Altında</w:t>
      </w:r>
    </w:p>
    <w:p w:rsidR="008228E0" w:rsidRDefault="008228E0" w:rsidP="008228E0">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TTKOM aynı zamanda TMS29 hariç sonuçlarını da açıkladı. Bu sonuçlara göre 4Ç23 döneminde satış gelirleri ve FAVÖK beklentilerin altında kalırken, net kar beklentilerin üzerinde geldi. Net kar 2.097mnTL olarak açıklandı. Ancak bu karda yine vergi gelirlerinin etkisi büyük oldu.</w:t>
      </w:r>
    </w:p>
    <w:p w:rsidR="008228E0" w:rsidRDefault="008228E0" w:rsidP="008228E0">
      <w:pPr>
        <w:pStyle w:val="NormalWeb"/>
        <w:spacing w:before="0" w:beforeAutospacing="0" w:after="300" w:afterAutospacing="0"/>
        <w:ind w:left="150" w:right="150"/>
        <w:textAlignment w:val="baseline"/>
        <w:rPr>
          <w:rFonts w:ascii="Arial" w:hAnsi="Arial" w:cs="Arial"/>
          <w:color w:val="000000"/>
          <w:spacing w:val="-1"/>
        </w:rPr>
      </w:pPr>
      <w:r>
        <w:rPr>
          <w:rFonts w:ascii="Arial" w:hAnsi="Arial" w:cs="Arial"/>
          <w:color w:val="000000"/>
          <w:spacing w:val="-1"/>
        </w:rPr>
        <w:t xml:space="preserve">TTKOM için piyasa çarpanları makul görünüyor. Ancak </w:t>
      </w:r>
      <w:proofErr w:type="spellStart"/>
      <w:r>
        <w:rPr>
          <w:rFonts w:ascii="Arial" w:hAnsi="Arial" w:cs="Arial"/>
          <w:color w:val="000000"/>
          <w:spacing w:val="-1"/>
        </w:rPr>
        <w:t>operasyonel</w:t>
      </w:r>
      <w:proofErr w:type="spellEnd"/>
      <w:r>
        <w:rPr>
          <w:rFonts w:ascii="Arial" w:hAnsi="Arial" w:cs="Arial"/>
          <w:color w:val="000000"/>
          <w:spacing w:val="-1"/>
        </w:rPr>
        <w:t xml:space="preserve"> sonuçlarda vergi geliri odaklı net kar gelmesi göz ardı edilmemeli. Şirket’in resmi raporunda </w:t>
      </w:r>
      <w:r>
        <w:rPr>
          <w:rFonts w:ascii="Arial" w:hAnsi="Arial" w:cs="Arial"/>
          <w:color w:val="000000"/>
          <w:spacing w:val="-1"/>
        </w:rPr>
        <w:lastRenderedPageBreak/>
        <w:t>son çeyrekte önemli bir hızlanma olduğu ve 2024 yılı performansının pozitif yönde habercisi olduğu belirtiliyor. Bu açıklamalar 1Ç24 sonuçlarına yönelik beklentilerin güçlü kalmasını sağlayabilir.</w:t>
      </w:r>
    </w:p>
    <w:p w:rsidR="00453903" w:rsidRDefault="00453903"/>
    <w:sectPr w:rsidR="00453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F0"/>
    <w:rsid w:val="000D0CF0"/>
    <w:rsid w:val="00453903"/>
    <w:rsid w:val="00822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28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228E0"/>
    <w:rPr>
      <w:color w:val="0000FF"/>
      <w:u w:val="single"/>
    </w:rPr>
  </w:style>
  <w:style w:type="character" w:styleId="Gl">
    <w:name w:val="Strong"/>
    <w:basedOn w:val="VarsaylanParagrafYazTipi"/>
    <w:uiPriority w:val="22"/>
    <w:qFormat/>
    <w:rsid w:val="008228E0"/>
    <w:rPr>
      <w:b/>
      <w:bCs/>
    </w:rPr>
  </w:style>
  <w:style w:type="character" w:styleId="zlenenKpr">
    <w:name w:val="FollowedHyperlink"/>
    <w:basedOn w:val="VarsaylanParagrafYazTipi"/>
    <w:uiPriority w:val="99"/>
    <w:semiHidden/>
    <w:unhideWhenUsed/>
    <w:rsid w:val="008228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28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228E0"/>
    <w:rPr>
      <w:color w:val="0000FF"/>
      <w:u w:val="single"/>
    </w:rPr>
  </w:style>
  <w:style w:type="character" w:styleId="Gl">
    <w:name w:val="Strong"/>
    <w:basedOn w:val="VarsaylanParagrafYazTipi"/>
    <w:uiPriority w:val="22"/>
    <w:qFormat/>
    <w:rsid w:val="008228E0"/>
    <w:rPr>
      <w:b/>
      <w:bCs/>
    </w:rPr>
  </w:style>
  <w:style w:type="character" w:styleId="zlenenKpr">
    <w:name w:val="FollowedHyperlink"/>
    <w:basedOn w:val="VarsaylanParagrafYazTipi"/>
    <w:uiPriority w:val="99"/>
    <w:semiHidden/>
    <w:unhideWhenUsed/>
    <w:rsid w:val="008228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2024-04-18T17:34:00Z</dcterms:created>
  <dcterms:modified xsi:type="dcterms:W3CDTF">2024-04-18T17:35:00Z</dcterms:modified>
</cp:coreProperties>
</file>