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07" w:rsidRDefault="007A1807" w:rsidP="007A1807">
      <w:pPr>
        <w:pStyle w:val="NormalWeb"/>
        <w:spacing w:before="0" w:beforeAutospacing="0" w:after="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Akbank 1Ç24'de 13,184 milyon TL kâr açıkladı. Net kar geçen yıl aynı çeyreğe göre </w:t>
      </w:r>
      <w:proofErr w:type="gramStart"/>
      <w:r>
        <w:rPr>
          <w:rFonts w:ascii="Arial" w:hAnsi="Arial" w:cs="Arial"/>
          <w:color w:val="000000"/>
          <w:spacing w:val="-1"/>
        </w:rPr>
        <w:t>23.1</w:t>
      </w:r>
      <w:proofErr w:type="gramEnd"/>
      <w:r>
        <w:rPr>
          <w:rFonts w:ascii="Arial" w:hAnsi="Arial" w:cs="Arial"/>
          <w:color w:val="000000"/>
          <w:spacing w:val="-1"/>
        </w:rPr>
        <w:t>% artış gösterdi. Kardaki artışta ücret ve komisyon gelirlerindeki artış ve beklenen zarar karşılıklarındaki azalma etkili oldu.</w:t>
      </w:r>
    </w:p>
    <w:p w:rsidR="007A1807" w:rsidRDefault="007A1807" w:rsidP="007A1807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AKBNK 3 aylık dönemde aktifleri 2023 sonuna göre </w:t>
      </w:r>
      <w:proofErr w:type="gramStart"/>
      <w:r>
        <w:rPr>
          <w:rFonts w:ascii="Arial" w:hAnsi="Arial" w:cs="Arial"/>
          <w:color w:val="000000"/>
          <w:spacing w:val="-1"/>
        </w:rPr>
        <w:t>9.5</w:t>
      </w:r>
      <w:proofErr w:type="gramEnd"/>
      <w:r>
        <w:rPr>
          <w:rFonts w:ascii="Arial" w:hAnsi="Arial" w:cs="Arial"/>
          <w:color w:val="000000"/>
          <w:spacing w:val="-1"/>
        </w:rPr>
        <w:t>% (yıllık 65.4%) büyüdü ve 1,960 milyar TL seviyesine ulaştı. Ortalama aktif kârlılığı %</w:t>
      </w:r>
      <w:proofErr w:type="gramStart"/>
      <w:r>
        <w:rPr>
          <w:rFonts w:ascii="Arial" w:hAnsi="Arial" w:cs="Arial"/>
          <w:color w:val="000000"/>
          <w:spacing w:val="-1"/>
        </w:rPr>
        <w:t>2.7</w:t>
      </w:r>
      <w:proofErr w:type="gramEnd"/>
      <w:r>
        <w:rPr>
          <w:rFonts w:ascii="Arial" w:hAnsi="Arial" w:cs="Arial"/>
          <w:color w:val="000000"/>
          <w:spacing w:val="-1"/>
        </w:rPr>
        <w:t xml:space="preserve"> oldu. Bu oran 2023 sonunda </w:t>
      </w:r>
      <w:proofErr w:type="gramStart"/>
      <w:r>
        <w:rPr>
          <w:rFonts w:ascii="Arial" w:hAnsi="Arial" w:cs="Arial"/>
          <w:color w:val="000000"/>
          <w:spacing w:val="-1"/>
        </w:rPr>
        <w:t>4.4</w:t>
      </w:r>
      <w:proofErr w:type="gramEnd"/>
      <w:r>
        <w:rPr>
          <w:rFonts w:ascii="Arial" w:hAnsi="Arial" w:cs="Arial"/>
          <w:color w:val="000000"/>
          <w:spacing w:val="-1"/>
        </w:rPr>
        <w:t>% seviyesindeydi.</w:t>
      </w:r>
    </w:p>
    <w:p w:rsidR="007A1807" w:rsidRDefault="007A1807" w:rsidP="007A1807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Aynı dönemde kredi büyüklüğü 2023 sonuna göre </w:t>
      </w:r>
      <w:proofErr w:type="gramStart"/>
      <w:r>
        <w:rPr>
          <w:rFonts w:ascii="Arial" w:hAnsi="Arial" w:cs="Arial"/>
          <w:color w:val="000000"/>
          <w:spacing w:val="-1"/>
        </w:rPr>
        <w:t>12.4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58.5%) artarak 942 milyar TL seviyesine ulaştı. Net faiz gelirlerinin, kredilere oranı 5.97% seviyesinden 10.18% seviyesine yükseldi. Kredilerden alınan faizlerin ortalama kredilere oranı ise </w:t>
      </w:r>
      <w:proofErr w:type="gramStart"/>
      <w:r>
        <w:rPr>
          <w:rFonts w:ascii="Arial" w:hAnsi="Arial" w:cs="Arial"/>
          <w:color w:val="000000"/>
          <w:spacing w:val="-1"/>
        </w:rPr>
        <w:t>7.8</w:t>
      </w:r>
      <w:proofErr w:type="gramEnd"/>
      <w:r>
        <w:rPr>
          <w:rFonts w:ascii="Arial" w:hAnsi="Arial" w:cs="Arial"/>
          <w:color w:val="000000"/>
          <w:spacing w:val="-1"/>
        </w:rPr>
        <w:t>% seviyesinden 4.3% seviyesine düştü.</w:t>
      </w:r>
    </w:p>
    <w:p w:rsidR="007A1807" w:rsidRDefault="007A1807" w:rsidP="007A1807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Mevduatlar 2023 sonuna göre </w:t>
      </w:r>
      <w:proofErr w:type="gramStart"/>
      <w:r>
        <w:rPr>
          <w:rFonts w:ascii="Arial" w:hAnsi="Arial" w:cs="Arial"/>
          <w:color w:val="000000"/>
          <w:spacing w:val="-1"/>
        </w:rPr>
        <w:t>7.3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68.8%) artarak 1,307 milyar TL oldu. Kredi / Mevduat oranı yılbaşında </w:t>
      </w:r>
      <w:proofErr w:type="gramStart"/>
      <w:r>
        <w:rPr>
          <w:rFonts w:ascii="Arial" w:hAnsi="Arial" w:cs="Arial"/>
          <w:color w:val="000000"/>
          <w:spacing w:val="-1"/>
        </w:rPr>
        <w:t>68.8</w:t>
      </w:r>
      <w:proofErr w:type="gramEnd"/>
      <w:r>
        <w:rPr>
          <w:rFonts w:ascii="Arial" w:hAnsi="Arial" w:cs="Arial"/>
          <w:color w:val="000000"/>
          <w:spacing w:val="-1"/>
        </w:rPr>
        <w:t>% seviyesinden 72.0% seviyesine yükseldi.</w:t>
      </w:r>
    </w:p>
    <w:p w:rsidR="007A1807" w:rsidRDefault="007A1807" w:rsidP="007A1807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Banka'nın </w:t>
      </w:r>
      <w:proofErr w:type="spellStart"/>
      <w:r>
        <w:rPr>
          <w:rFonts w:ascii="Arial" w:hAnsi="Arial" w:cs="Arial"/>
          <w:color w:val="000000"/>
          <w:spacing w:val="-1"/>
        </w:rPr>
        <w:t>özkaynakları</w:t>
      </w:r>
      <w:proofErr w:type="spellEnd"/>
      <w:r>
        <w:rPr>
          <w:rFonts w:ascii="Arial" w:hAnsi="Arial" w:cs="Arial"/>
          <w:color w:val="000000"/>
          <w:spacing w:val="-1"/>
        </w:rPr>
        <w:t xml:space="preserve"> bu dönemde </w:t>
      </w:r>
      <w:proofErr w:type="gramStart"/>
      <w:r>
        <w:rPr>
          <w:rFonts w:ascii="Arial" w:hAnsi="Arial" w:cs="Arial"/>
          <w:color w:val="000000"/>
          <w:spacing w:val="-1"/>
        </w:rPr>
        <w:t>38.6</w:t>
      </w:r>
      <w:proofErr w:type="gramEnd"/>
      <w:r>
        <w:rPr>
          <w:rFonts w:ascii="Arial" w:hAnsi="Arial" w:cs="Arial"/>
          <w:color w:val="000000"/>
          <w:spacing w:val="-1"/>
        </w:rPr>
        <w:t xml:space="preserve">% artışla 213.1 milyar TL seviyesinde gerçekleşti. Ortalama </w:t>
      </w:r>
      <w:proofErr w:type="spellStart"/>
      <w:r>
        <w:rPr>
          <w:rFonts w:ascii="Arial" w:hAnsi="Arial" w:cs="Arial"/>
          <w:color w:val="000000"/>
          <w:spacing w:val="-1"/>
        </w:rPr>
        <w:t>özkaynak</w:t>
      </w:r>
      <w:proofErr w:type="spellEnd"/>
      <w:r>
        <w:rPr>
          <w:rFonts w:ascii="Arial" w:hAnsi="Arial" w:cs="Arial"/>
          <w:color w:val="000000"/>
          <w:spacing w:val="-1"/>
        </w:rPr>
        <w:t xml:space="preserve"> kârlılığı </w:t>
      </w:r>
      <w:proofErr w:type="gramStart"/>
      <w:r>
        <w:rPr>
          <w:rFonts w:ascii="Arial" w:hAnsi="Arial" w:cs="Arial"/>
          <w:color w:val="000000"/>
          <w:spacing w:val="-1"/>
        </w:rPr>
        <w:t>27.9</w:t>
      </w:r>
      <w:proofErr w:type="gramEnd"/>
      <w:r>
        <w:rPr>
          <w:rFonts w:ascii="Arial" w:hAnsi="Arial" w:cs="Arial"/>
          <w:color w:val="000000"/>
          <w:spacing w:val="-1"/>
        </w:rPr>
        <w:t>% seviyesinden 24.9% seviyesine düştü.</w:t>
      </w:r>
    </w:p>
    <w:p w:rsidR="007A1807" w:rsidRDefault="007A1807" w:rsidP="007A1807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Takibe dönüşüm oranı </w:t>
      </w:r>
      <w:proofErr w:type="gramStart"/>
      <w:r>
        <w:rPr>
          <w:rFonts w:ascii="Arial" w:hAnsi="Arial" w:cs="Arial"/>
          <w:color w:val="000000"/>
          <w:spacing w:val="-1"/>
        </w:rPr>
        <w:t>2.2</w:t>
      </w:r>
      <w:proofErr w:type="gramEnd"/>
      <w:r>
        <w:rPr>
          <w:rFonts w:ascii="Arial" w:hAnsi="Arial" w:cs="Arial"/>
          <w:color w:val="000000"/>
          <w:spacing w:val="-1"/>
        </w:rPr>
        <w:t xml:space="preserve">% seviyesinde seyretti. Sermaye yeterlik </w:t>
      </w:r>
      <w:proofErr w:type="spellStart"/>
      <w:r>
        <w:rPr>
          <w:rFonts w:ascii="Arial" w:hAnsi="Arial" w:cs="Arial"/>
          <w:color w:val="000000"/>
          <w:spacing w:val="-1"/>
        </w:rPr>
        <w:t>rasyosu</w:t>
      </w:r>
      <w:proofErr w:type="spellEnd"/>
      <w:r>
        <w:rPr>
          <w:rFonts w:ascii="Arial" w:hAnsi="Arial" w:cs="Arial"/>
          <w:color w:val="000000"/>
          <w:spacing w:val="-1"/>
        </w:rPr>
        <w:t xml:space="preserve"> ise </w:t>
      </w:r>
      <w:proofErr w:type="gramStart"/>
      <w:r>
        <w:rPr>
          <w:rFonts w:ascii="Arial" w:hAnsi="Arial" w:cs="Arial"/>
          <w:color w:val="000000"/>
          <w:spacing w:val="-1"/>
        </w:rPr>
        <w:t>17.3</w:t>
      </w:r>
      <w:proofErr w:type="gramEnd"/>
      <w:r>
        <w:rPr>
          <w:rFonts w:ascii="Arial" w:hAnsi="Arial" w:cs="Arial"/>
          <w:color w:val="000000"/>
          <w:spacing w:val="-1"/>
        </w:rPr>
        <w:t xml:space="preserve"> oldu. Bu oran 2023 yılında </w:t>
      </w:r>
      <w:proofErr w:type="gramStart"/>
      <w:r>
        <w:rPr>
          <w:rFonts w:ascii="Arial" w:hAnsi="Arial" w:cs="Arial"/>
          <w:color w:val="000000"/>
          <w:spacing w:val="-1"/>
        </w:rPr>
        <w:t>18.5</w:t>
      </w:r>
      <w:proofErr w:type="gramEnd"/>
      <w:r>
        <w:rPr>
          <w:rFonts w:ascii="Arial" w:hAnsi="Arial" w:cs="Arial"/>
          <w:color w:val="000000"/>
          <w:spacing w:val="-1"/>
        </w:rPr>
        <w:t xml:space="preserve"> seviyesindeydi.</w:t>
      </w:r>
    </w:p>
    <w:p w:rsidR="007A1807" w:rsidRDefault="007A1807" w:rsidP="007A1807">
      <w:pPr>
        <w:pStyle w:val="NormalWeb"/>
        <w:spacing w:before="0" w:beforeAutospacing="0" w:after="30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Hisse 4.48x f/k ve 1.45x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piyasa çarpanları ile işlem görmekte. Banka sektör ortalamaları f/k için 7.26x ve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için 2.09x seviyelerinde bulunuyor. Sonuçları </w:t>
      </w:r>
      <w:proofErr w:type="gramStart"/>
      <w:r>
        <w:rPr>
          <w:rFonts w:ascii="Arial" w:hAnsi="Arial" w:cs="Arial"/>
          <w:color w:val="000000"/>
          <w:spacing w:val="-1"/>
        </w:rPr>
        <w:t>nötr</w:t>
      </w:r>
      <w:proofErr w:type="gramEnd"/>
      <w:r>
        <w:rPr>
          <w:rFonts w:ascii="Arial" w:hAnsi="Arial" w:cs="Arial"/>
          <w:color w:val="000000"/>
          <w:spacing w:val="-1"/>
        </w:rPr>
        <w:t xml:space="preserve"> olarak değerlendiriyoruz.</w:t>
      </w:r>
    </w:p>
    <w:p w:rsidR="00EF55E5" w:rsidRDefault="007A1807">
      <w:r>
        <w:rPr>
          <w:noProof/>
          <w:lang w:eastAsia="tr-TR"/>
        </w:rPr>
        <w:drawing>
          <wp:inline distT="0" distB="0" distL="0" distR="0" wp14:anchorId="5B06067D" wp14:editId="42073859">
            <wp:extent cx="5760720" cy="318903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04"/>
    <w:rsid w:val="00652D04"/>
    <w:rsid w:val="007A1807"/>
    <w:rsid w:val="00E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A180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A180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2024-05-02T20:14:00Z</dcterms:created>
  <dcterms:modified xsi:type="dcterms:W3CDTF">2024-05-02T20:15:00Z</dcterms:modified>
</cp:coreProperties>
</file>