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C1" w:rsidRDefault="008A6FC1" w:rsidP="008A6FC1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noProof/>
        </w:rPr>
        <w:drawing>
          <wp:inline distT="0" distB="0" distL="0" distR="0" wp14:anchorId="5A9B0E2E" wp14:editId="3986819C">
            <wp:extent cx="5760720" cy="3705332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0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FC1" w:rsidRDefault="008A6FC1" w:rsidP="008A6FC1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Ford Otosan </w:t>
      </w:r>
      <w:r>
        <w:rPr>
          <w:rFonts w:ascii="Arial" w:hAnsi="Arial" w:cs="Arial"/>
          <w:color w:val="000000"/>
          <w:spacing w:val="-1"/>
        </w:rPr>
        <w:t>yılın ilk 3 ayında 8,973 mn TL net kâr açıkladı. Net kâr geçen yıl aynı döneme göre 10.02%  büyüdü.  Bu dönemde şirket 124,188 mn TL satış geliri elde ederken satış gelirleri yıllık 9.30% artış gösterdi. FAVÖK 10,093 milyon TL oldu ve yıllık bazda 15.14% azaldı.</w:t>
      </w:r>
    </w:p>
    <w:p w:rsidR="008A6FC1" w:rsidRDefault="008A6FC1" w:rsidP="008A6FC1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Yılın ilk 3 ayında şirket 10.64% brüt kâr marjı ile çalıştı. Geçen yıl aynı dönemde 12.36% olmuştu. Favök marjı 8.13% seviyesinde olurken, geçen yıl 10.47% olmuştu. Net kâr marjı 7.23% oldu. Geçen yıl aynı dönemde 7.18% olmuştu. Artan maliyetler ve fiyat rekabeti karlılıkta düşüşe neden oldu.</w:t>
      </w:r>
    </w:p>
    <w:p w:rsidR="008A6FC1" w:rsidRDefault="008A6FC1" w:rsidP="008A6FC1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Aktif kârlılığı 4.72% olurken, geçen yıl aynı dönemde 9.90% olmuştu. Özsermaye kârlılığı %34 seviyesinde gerçekleşti. Yüksek  Özsermaye karlılığını korudu.</w:t>
      </w:r>
    </w:p>
    <w:p w:rsidR="008A6FC1" w:rsidRDefault="008A6FC1" w:rsidP="008A6FC1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İhracat oranı 76.68% seviyesinde gerçekleşti. 2023 yılının tamamında ihracat oranı 74.88% olmuştu. Şirket bu dönemde Pazar payını artırdı.</w:t>
      </w:r>
    </w:p>
    <w:p w:rsidR="008A6FC1" w:rsidRDefault="008A6FC1" w:rsidP="008A6FC1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 Bu dönemin sonunda şirketin 63,177 mn TL net borcu bulunuyor. 2023 yılının sonunda şirketin 69,649 mn TL borcu bulunuyordu. Net borç / FAVÖK oranı yıllık bazda 1.54x seviyesinde bulunuyor. Cari oran 1.16x ve likidite oranı ise 0.76x seviyelerinde. Sektör ortalaması cari oran için 1.32x ve likidite oranı için 0.89x seviyesinde bulunuyor.</w:t>
      </w:r>
    </w:p>
    <w:p w:rsidR="008A6FC1" w:rsidRDefault="008A6FC1" w:rsidP="008A6FC1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Şirketin borç kaynak oranı 66.10% seviyesinde. Geçen yıl aynı dönemde 80.78% seviyesindeydi. Sektör ortalaması borç kaynak oranı için 61.97% seviyesinde bulunuyor.</w:t>
      </w:r>
    </w:p>
    <w:p w:rsidR="008A6FC1" w:rsidRDefault="008A6FC1" w:rsidP="008A6FC1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Şirketin nakit değerleri 2023 yılsonuna göre 8,501.2 milyon TL artarak 26,019.2 milyon TL oldu. İşletme faaliyetlerinden 10739.2 milyon TL nakit girişi sağlandı. </w:t>
      </w:r>
      <w:r>
        <w:rPr>
          <w:rFonts w:ascii="Arial" w:hAnsi="Arial" w:cs="Arial"/>
          <w:color w:val="000000"/>
          <w:spacing w:val="-1"/>
        </w:rPr>
        <w:lastRenderedPageBreak/>
        <w:t>Yatırım faaliyetlerinden 6,709.3 milyon TL nakit çıkışı olurken, finansman faaliyetlerinden 6,617.9 milyon TL nakit girişi sağlandı.</w:t>
      </w:r>
    </w:p>
    <w:p w:rsidR="008A6FC1" w:rsidRDefault="008A6FC1" w:rsidP="008A6FC1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Finansman giderlerinin net satışlara oranı 3.32% olurken, geçen yıl aynı dönemde 1.97% olmuştu.</w:t>
      </w:r>
    </w:p>
    <w:p w:rsidR="008A6FC1" w:rsidRDefault="008A6FC1" w:rsidP="008A6FC1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Nakit döndürme süresi bu dönemin sonunda 14.28 gün olarak gerçekleşti. Sektör ortalaması ise 36.59 gün seviyesinde bulunuyor.</w:t>
      </w:r>
    </w:p>
    <w:p w:rsidR="008A6FC1" w:rsidRDefault="008A6FC1" w:rsidP="008A6FC1">
      <w:pPr>
        <w:pStyle w:val="NormalWeb"/>
        <w:spacing w:before="0" w:beforeAutospacing="0" w:after="300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Şirket son kapanışa göre 489,532 mn TL firma değerinde bulunuyor. Son duruma göre 8.55x F/K (sektör 11.57x), 11.97x FD/FAVÖK (sektör 12.74x) ve 4.74x PD/DD (sektör4.91x) piyasa çarpanlarıyla işlem görüyor. Sonuçları FROTO için nötr karşılıyoruz. Şirket dengeli sonuçlar açıkladı ve bilanço yönetimini iyi yapıyor. Oldukça makul piyasa çarpanları ile işlem gördüğünü düşünüyoruz.</w:t>
      </w:r>
    </w:p>
    <w:p w:rsidR="008A6FC1" w:rsidRDefault="008A6FC1" w:rsidP="008A6FC1">
      <w:pPr>
        <w:pStyle w:val="NormalWeb"/>
        <w:spacing w:before="0" w:beforeAutospacing="0" w:after="300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Kaynak: </w:t>
      </w:r>
      <w:hyperlink r:id="rId6" w:history="1">
        <w:r w:rsidRPr="002D45D3">
          <w:rPr>
            <w:rStyle w:val="Kpr"/>
            <w:rFonts w:ascii="Arial" w:hAnsi="Arial" w:cs="Arial"/>
            <w:spacing w:val="-1"/>
          </w:rPr>
          <w:t>https://www.hedeffiyat.com.tr</w:t>
        </w:r>
      </w:hyperlink>
      <w:r>
        <w:rPr>
          <w:rFonts w:ascii="Arial" w:hAnsi="Arial" w:cs="Arial"/>
          <w:color w:val="000000"/>
          <w:spacing w:val="-1"/>
        </w:rPr>
        <w:t xml:space="preserve"> </w:t>
      </w:r>
      <w:bookmarkStart w:id="0" w:name="_GoBack"/>
      <w:bookmarkEnd w:id="0"/>
    </w:p>
    <w:p w:rsidR="00C83311" w:rsidRDefault="00C83311"/>
    <w:sectPr w:rsidR="00C8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D1"/>
    <w:rsid w:val="006C68D1"/>
    <w:rsid w:val="008A6FC1"/>
    <w:rsid w:val="00C8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FC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A6F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FC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A6F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edeffiyat.com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Öztürk</dc:creator>
  <cp:keywords/>
  <dc:description/>
  <cp:lastModifiedBy>Ömer Faruk Öztürk</cp:lastModifiedBy>
  <cp:revision>3</cp:revision>
  <dcterms:created xsi:type="dcterms:W3CDTF">2024-05-23T19:37:00Z</dcterms:created>
  <dcterms:modified xsi:type="dcterms:W3CDTF">2024-05-23T19:38:00Z</dcterms:modified>
</cp:coreProperties>
</file>