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1B" w:rsidRDefault="00893572">
      <w:r>
        <w:rPr>
          <w:noProof/>
          <w:lang w:eastAsia="tr-TR"/>
        </w:rPr>
        <w:drawing>
          <wp:inline distT="0" distB="0" distL="0" distR="0" wp14:anchorId="534B2CCC" wp14:editId="789BB941">
            <wp:extent cx="5760720" cy="3840684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572" w:rsidRDefault="00893572" w:rsidP="0089357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İş Bankası 1</w:t>
      </w:r>
      <w:bookmarkStart w:id="0" w:name="_GoBack"/>
      <w:bookmarkEnd w:id="0"/>
      <w:r>
        <w:rPr>
          <w:rFonts w:ascii="Arial" w:hAnsi="Arial" w:cs="Arial"/>
          <w:color w:val="000000"/>
          <w:spacing w:val="-1"/>
        </w:rPr>
        <w:t xml:space="preserve">Ç24'de 14,047 milyon TL kâr açıkladı. Net kar geçen yıl aynı çeyreğe göre </w:t>
      </w:r>
      <w:proofErr w:type="gramStart"/>
      <w:r>
        <w:rPr>
          <w:rFonts w:ascii="Arial" w:hAnsi="Arial" w:cs="Arial"/>
          <w:color w:val="000000"/>
          <w:spacing w:val="-1"/>
        </w:rPr>
        <w:t>8.9</w:t>
      </w:r>
      <w:proofErr w:type="gramEnd"/>
      <w:r>
        <w:rPr>
          <w:rFonts w:ascii="Arial" w:hAnsi="Arial" w:cs="Arial"/>
          <w:color w:val="000000"/>
          <w:spacing w:val="-1"/>
        </w:rPr>
        <w:t xml:space="preserve">% artış gösterdi. Net karda İştiraklerden gelen </w:t>
      </w:r>
      <w:proofErr w:type="spellStart"/>
      <w:r>
        <w:rPr>
          <w:rFonts w:ascii="Arial" w:hAnsi="Arial" w:cs="Arial"/>
          <w:color w:val="000000"/>
          <w:spacing w:val="-1"/>
        </w:rPr>
        <w:t>Özkaynak</w:t>
      </w:r>
      <w:proofErr w:type="spellEnd"/>
      <w:r>
        <w:rPr>
          <w:rFonts w:ascii="Arial" w:hAnsi="Arial" w:cs="Arial"/>
          <w:color w:val="000000"/>
          <w:spacing w:val="-1"/>
        </w:rPr>
        <w:t xml:space="preserve"> pay geliri önemli etki yaratırken, geçen yıla kıyasla daha düşük vergi karşılığı ayırması etkili oldu. Bankacılık faaliyetlerinden elde edilen faaliyet karı zayıf kaldı.</w:t>
      </w:r>
    </w:p>
    <w:p w:rsidR="00893572" w:rsidRDefault="00893572" w:rsidP="0089357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ISCTR 3 aylık dönemde aktifleri 2023 sonuna göre </w:t>
      </w:r>
      <w:proofErr w:type="gramStart"/>
      <w:r>
        <w:rPr>
          <w:rFonts w:ascii="Arial" w:hAnsi="Arial" w:cs="Arial"/>
          <w:color w:val="000000"/>
          <w:spacing w:val="-1"/>
        </w:rPr>
        <w:t>8.7</w:t>
      </w:r>
      <w:proofErr w:type="gramEnd"/>
      <w:r>
        <w:rPr>
          <w:rFonts w:ascii="Arial" w:hAnsi="Arial" w:cs="Arial"/>
          <w:color w:val="000000"/>
          <w:spacing w:val="-1"/>
        </w:rPr>
        <w:t>% (yıllık 69.3%) büyüdü  ve 2,666 milyar TL seviyesine ulaştı. Ortalama aktif kârlılığı %</w:t>
      </w:r>
      <w:proofErr w:type="gramStart"/>
      <w:r>
        <w:rPr>
          <w:rFonts w:ascii="Arial" w:hAnsi="Arial" w:cs="Arial"/>
          <w:color w:val="000000"/>
          <w:spacing w:val="-1"/>
        </w:rPr>
        <w:t>3.4</w:t>
      </w:r>
      <w:proofErr w:type="gramEnd"/>
      <w:r>
        <w:rPr>
          <w:rFonts w:ascii="Arial" w:hAnsi="Arial" w:cs="Arial"/>
          <w:color w:val="000000"/>
          <w:spacing w:val="-1"/>
        </w:rPr>
        <w:t xml:space="preserve"> oldu. Bu oran 2023 sonunda %</w:t>
      </w:r>
      <w:proofErr w:type="gramStart"/>
      <w:r>
        <w:rPr>
          <w:rFonts w:ascii="Arial" w:hAnsi="Arial" w:cs="Arial"/>
          <w:color w:val="000000"/>
          <w:spacing w:val="-1"/>
        </w:rPr>
        <w:t>3.8</w:t>
      </w:r>
      <w:proofErr w:type="gramEnd"/>
      <w:r>
        <w:rPr>
          <w:rFonts w:ascii="Arial" w:hAnsi="Arial" w:cs="Arial"/>
          <w:color w:val="000000"/>
          <w:spacing w:val="-1"/>
        </w:rPr>
        <w:t xml:space="preserve"> seviyesindeydi.</w:t>
      </w:r>
    </w:p>
    <w:p w:rsidR="00893572" w:rsidRDefault="00893572" w:rsidP="0089357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Aynı dönemde kredi büyüklüğü 2023 sonuna göre </w:t>
      </w:r>
      <w:proofErr w:type="gramStart"/>
      <w:r>
        <w:rPr>
          <w:rFonts w:ascii="Arial" w:hAnsi="Arial" w:cs="Arial"/>
          <w:color w:val="000000"/>
          <w:spacing w:val="-1"/>
        </w:rPr>
        <w:t>12.6</w:t>
      </w:r>
      <w:proofErr w:type="gramEnd"/>
      <w:r>
        <w:rPr>
          <w:rFonts w:ascii="Arial" w:hAnsi="Arial" w:cs="Arial"/>
          <w:color w:val="000000"/>
          <w:spacing w:val="-1"/>
        </w:rPr>
        <w:t xml:space="preserve">% (yıllık 57.5%) artarak 1,278 milyar TL seviyesine ulaştı. Net faiz gelirlerinin, kredilere oranı 4.79% seviyesinden 8.05% seviyesine yükseldi. Kredilerden alınan faizlerin ortalama kredilere oranı ise </w:t>
      </w:r>
      <w:proofErr w:type="gramStart"/>
      <w:r>
        <w:rPr>
          <w:rFonts w:ascii="Arial" w:hAnsi="Arial" w:cs="Arial"/>
          <w:color w:val="000000"/>
          <w:spacing w:val="-1"/>
        </w:rPr>
        <w:t>6.8</w:t>
      </w:r>
      <w:proofErr w:type="gramEnd"/>
      <w:r>
        <w:rPr>
          <w:rFonts w:ascii="Arial" w:hAnsi="Arial" w:cs="Arial"/>
          <w:color w:val="000000"/>
          <w:spacing w:val="-1"/>
        </w:rPr>
        <w:t>% seviyesinden 3.9% seviyesine düştü.</w:t>
      </w:r>
    </w:p>
    <w:p w:rsidR="00893572" w:rsidRDefault="00893572" w:rsidP="0089357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Mevduatlar 2023 sonuna göre </w:t>
      </w:r>
      <w:proofErr w:type="gramStart"/>
      <w:r>
        <w:rPr>
          <w:rFonts w:ascii="Arial" w:hAnsi="Arial" w:cs="Arial"/>
          <w:color w:val="000000"/>
          <w:spacing w:val="-1"/>
        </w:rPr>
        <w:t>5.2</w:t>
      </w:r>
      <w:proofErr w:type="gramEnd"/>
      <w:r>
        <w:rPr>
          <w:rFonts w:ascii="Arial" w:hAnsi="Arial" w:cs="Arial"/>
          <w:color w:val="000000"/>
          <w:spacing w:val="-1"/>
        </w:rPr>
        <w:t xml:space="preserve">% (yıllık 68.4%) artarak 1,749 milyar TL oldu. Kredi / Mevduat oranı yılbaşında 69% seviyesinden </w:t>
      </w:r>
      <w:proofErr w:type="gramStart"/>
      <w:r>
        <w:rPr>
          <w:rFonts w:ascii="Arial" w:hAnsi="Arial" w:cs="Arial"/>
          <w:color w:val="000000"/>
          <w:spacing w:val="-1"/>
        </w:rPr>
        <w:t>73.7</w:t>
      </w:r>
      <w:proofErr w:type="gramEnd"/>
      <w:r>
        <w:rPr>
          <w:rFonts w:ascii="Arial" w:hAnsi="Arial" w:cs="Arial"/>
          <w:color w:val="000000"/>
          <w:spacing w:val="-1"/>
        </w:rPr>
        <w:t>% seviyesine yükseldi.</w:t>
      </w:r>
    </w:p>
    <w:p w:rsidR="00893572" w:rsidRDefault="00893572" w:rsidP="0089357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Banka'nın </w:t>
      </w:r>
      <w:proofErr w:type="spellStart"/>
      <w:r>
        <w:rPr>
          <w:rFonts w:ascii="Arial" w:hAnsi="Arial" w:cs="Arial"/>
          <w:color w:val="000000"/>
          <w:spacing w:val="-1"/>
        </w:rPr>
        <w:t>özkaynakları</w:t>
      </w:r>
      <w:proofErr w:type="spellEnd"/>
      <w:r>
        <w:rPr>
          <w:rFonts w:ascii="Arial" w:hAnsi="Arial" w:cs="Arial"/>
          <w:color w:val="000000"/>
          <w:spacing w:val="-1"/>
        </w:rPr>
        <w:t xml:space="preserve"> bu dönemde </w:t>
      </w:r>
      <w:proofErr w:type="gramStart"/>
      <w:r>
        <w:rPr>
          <w:rFonts w:ascii="Arial" w:hAnsi="Arial" w:cs="Arial"/>
          <w:color w:val="000000"/>
          <w:spacing w:val="-1"/>
        </w:rPr>
        <w:t>39.7</w:t>
      </w:r>
      <w:proofErr w:type="gramEnd"/>
      <w:r>
        <w:rPr>
          <w:rFonts w:ascii="Arial" w:hAnsi="Arial" w:cs="Arial"/>
          <w:color w:val="000000"/>
          <w:spacing w:val="-1"/>
        </w:rPr>
        <w:t xml:space="preserve">% artışla 275.0 milyar TL seviyesinde gerçekleşti. Ortalama </w:t>
      </w:r>
      <w:proofErr w:type="spellStart"/>
      <w:r>
        <w:rPr>
          <w:rFonts w:ascii="Arial" w:hAnsi="Arial" w:cs="Arial"/>
          <w:color w:val="000000"/>
          <w:spacing w:val="-1"/>
        </w:rPr>
        <w:t>özkaynak</w:t>
      </w:r>
      <w:proofErr w:type="spellEnd"/>
      <w:r>
        <w:rPr>
          <w:rFonts w:ascii="Arial" w:hAnsi="Arial" w:cs="Arial"/>
          <w:color w:val="000000"/>
          <w:spacing w:val="-1"/>
        </w:rPr>
        <w:t xml:space="preserve"> kârlılığı 2023 sonuna göre </w:t>
      </w:r>
      <w:proofErr w:type="gramStart"/>
      <w:r>
        <w:rPr>
          <w:rFonts w:ascii="Arial" w:hAnsi="Arial" w:cs="Arial"/>
          <w:color w:val="000000"/>
          <w:spacing w:val="-1"/>
        </w:rPr>
        <w:t>33.3</w:t>
      </w:r>
      <w:proofErr w:type="gramEnd"/>
      <w:r>
        <w:rPr>
          <w:rFonts w:ascii="Arial" w:hAnsi="Arial" w:cs="Arial"/>
          <w:color w:val="000000"/>
          <w:spacing w:val="-1"/>
        </w:rPr>
        <w:t>% seviyesinden 31.4% seviyesine düştü.</w:t>
      </w:r>
    </w:p>
    <w:p w:rsidR="00893572" w:rsidRDefault="00893572" w:rsidP="0089357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Bu dönemde Şirket’in düzeltilmiş net faiz marjı %</w:t>
      </w:r>
      <w:proofErr w:type="gramStart"/>
      <w:r>
        <w:rPr>
          <w:rFonts w:ascii="Arial" w:hAnsi="Arial" w:cs="Arial"/>
          <w:color w:val="000000"/>
          <w:spacing w:val="-1"/>
        </w:rPr>
        <w:t>1.9</w:t>
      </w:r>
      <w:proofErr w:type="gramEnd"/>
      <w:r>
        <w:rPr>
          <w:rFonts w:ascii="Arial" w:hAnsi="Arial" w:cs="Arial"/>
          <w:color w:val="000000"/>
          <w:spacing w:val="-1"/>
        </w:rPr>
        <w:t xml:space="preserve"> oldu. 2023 sonunda %</w:t>
      </w:r>
      <w:proofErr w:type="gramStart"/>
      <w:r>
        <w:rPr>
          <w:rFonts w:ascii="Arial" w:hAnsi="Arial" w:cs="Arial"/>
          <w:color w:val="000000"/>
          <w:spacing w:val="-1"/>
        </w:rPr>
        <w:t>5.5</w:t>
      </w:r>
      <w:proofErr w:type="gramEnd"/>
      <w:r>
        <w:rPr>
          <w:rFonts w:ascii="Arial" w:hAnsi="Arial" w:cs="Arial"/>
          <w:color w:val="000000"/>
          <w:spacing w:val="-1"/>
        </w:rPr>
        <w:t xml:space="preserve"> seviyesindeydi. Net faiz </w:t>
      </w:r>
      <w:proofErr w:type="gramStart"/>
      <w:r>
        <w:rPr>
          <w:rFonts w:ascii="Arial" w:hAnsi="Arial" w:cs="Arial"/>
          <w:color w:val="000000"/>
          <w:spacing w:val="-1"/>
        </w:rPr>
        <w:t>marjının</w:t>
      </w:r>
      <w:proofErr w:type="gramEnd"/>
      <w:r>
        <w:rPr>
          <w:rFonts w:ascii="Arial" w:hAnsi="Arial" w:cs="Arial"/>
          <w:color w:val="000000"/>
          <w:spacing w:val="-1"/>
        </w:rPr>
        <w:t xml:space="preserve"> yılın geri kalan döneminde bir miktar daha daralması bekleniyor.</w:t>
      </w:r>
    </w:p>
    <w:p w:rsidR="00893572" w:rsidRDefault="00893572" w:rsidP="0089357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Takibe dönüşüm oranı </w:t>
      </w:r>
      <w:proofErr w:type="gramStart"/>
      <w:r>
        <w:rPr>
          <w:rFonts w:ascii="Arial" w:hAnsi="Arial" w:cs="Arial"/>
          <w:color w:val="000000"/>
          <w:spacing w:val="-1"/>
        </w:rPr>
        <w:t>1.9</w:t>
      </w:r>
      <w:proofErr w:type="gramEnd"/>
      <w:r>
        <w:rPr>
          <w:rFonts w:ascii="Arial" w:hAnsi="Arial" w:cs="Arial"/>
          <w:color w:val="000000"/>
          <w:spacing w:val="-1"/>
        </w:rPr>
        <w:t xml:space="preserve">% seviyesinde seyretti. Sermaye yeterlik </w:t>
      </w:r>
      <w:proofErr w:type="spellStart"/>
      <w:r>
        <w:rPr>
          <w:rFonts w:ascii="Arial" w:hAnsi="Arial" w:cs="Arial"/>
          <w:color w:val="000000"/>
          <w:spacing w:val="-1"/>
        </w:rPr>
        <w:t>rasyosu</w:t>
      </w:r>
      <w:proofErr w:type="spellEnd"/>
      <w:r>
        <w:rPr>
          <w:rFonts w:ascii="Arial" w:hAnsi="Arial" w:cs="Arial"/>
          <w:color w:val="000000"/>
          <w:spacing w:val="-1"/>
        </w:rPr>
        <w:t xml:space="preserve"> ise 18.50 oldu. Bu oran 2023 yılında 18.41 seviyesindeydi.</w:t>
      </w:r>
    </w:p>
    <w:p w:rsidR="00893572" w:rsidRDefault="00893572" w:rsidP="00893572">
      <w:pPr>
        <w:pStyle w:val="NormalWeb"/>
        <w:spacing w:before="0" w:beforeAutospacing="0" w:after="300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lastRenderedPageBreak/>
        <w:t xml:space="preserve">Hisse 4.60x f/k ve 1.23x </w:t>
      </w:r>
      <w:proofErr w:type="spellStart"/>
      <w:r>
        <w:rPr>
          <w:rFonts w:ascii="Arial" w:hAnsi="Arial" w:cs="Arial"/>
          <w:color w:val="000000"/>
          <w:spacing w:val="-1"/>
        </w:rPr>
        <w:t>pd</w:t>
      </w:r>
      <w:proofErr w:type="spellEnd"/>
      <w:r>
        <w:rPr>
          <w:rFonts w:ascii="Arial" w:hAnsi="Arial" w:cs="Arial"/>
          <w:color w:val="000000"/>
          <w:spacing w:val="-1"/>
        </w:rPr>
        <w:t>/</w:t>
      </w:r>
      <w:proofErr w:type="spellStart"/>
      <w:r>
        <w:rPr>
          <w:rFonts w:ascii="Arial" w:hAnsi="Arial" w:cs="Arial"/>
          <w:color w:val="000000"/>
          <w:spacing w:val="-1"/>
        </w:rPr>
        <w:t>dd</w:t>
      </w:r>
      <w:proofErr w:type="spellEnd"/>
      <w:r>
        <w:rPr>
          <w:rFonts w:ascii="Arial" w:hAnsi="Arial" w:cs="Arial"/>
          <w:color w:val="000000"/>
          <w:spacing w:val="-1"/>
        </w:rPr>
        <w:t xml:space="preserve"> piyasa çarpanları ile işlem görmekte. Banka sektör ortalamaları f/k için 7.22x ve </w:t>
      </w:r>
      <w:proofErr w:type="spellStart"/>
      <w:r>
        <w:rPr>
          <w:rFonts w:ascii="Arial" w:hAnsi="Arial" w:cs="Arial"/>
          <w:color w:val="000000"/>
          <w:spacing w:val="-1"/>
        </w:rPr>
        <w:t>pd</w:t>
      </w:r>
      <w:proofErr w:type="spellEnd"/>
      <w:r>
        <w:rPr>
          <w:rFonts w:ascii="Arial" w:hAnsi="Arial" w:cs="Arial"/>
          <w:color w:val="000000"/>
          <w:spacing w:val="-1"/>
        </w:rPr>
        <w:t>/</w:t>
      </w:r>
      <w:proofErr w:type="spellStart"/>
      <w:r>
        <w:rPr>
          <w:rFonts w:ascii="Arial" w:hAnsi="Arial" w:cs="Arial"/>
          <w:color w:val="000000"/>
          <w:spacing w:val="-1"/>
        </w:rPr>
        <w:t>dd</w:t>
      </w:r>
      <w:proofErr w:type="spellEnd"/>
      <w:r>
        <w:rPr>
          <w:rFonts w:ascii="Arial" w:hAnsi="Arial" w:cs="Arial"/>
          <w:color w:val="000000"/>
          <w:spacing w:val="-1"/>
        </w:rPr>
        <w:t xml:space="preserve"> için 2.10x seviyelerinde bulunuyor. Karlılıktaki artışta iştirak geliri ve vergi faktörü bulunuyor. </w:t>
      </w:r>
      <w:proofErr w:type="gramStart"/>
      <w:r>
        <w:rPr>
          <w:rFonts w:ascii="Arial" w:hAnsi="Arial" w:cs="Arial"/>
          <w:color w:val="000000"/>
          <w:spacing w:val="-1"/>
        </w:rPr>
        <w:t xml:space="preserve">Bankacılık faaliyetlerinden gelen karlılık halen zayıf. </w:t>
      </w:r>
      <w:proofErr w:type="gramEnd"/>
      <w:r>
        <w:rPr>
          <w:rFonts w:ascii="Arial" w:hAnsi="Arial" w:cs="Arial"/>
          <w:color w:val="000000"/>
          <w:spacing w:val="-1"/>
        </w:rPr>
        <w:t xml:space="preserve">Hisse üzerinde </w:t>
      </w:r>
      <w:proofErr w:type="gramStart"/>
      <w:r>
        <w:rPr>
          <w:rFonts w:ascii="Arial" w:hAnsi="Arial" w:cs="Arial"/>
          <w:color w:val="000000"/>
          <w:spacing w:val="-1"/>
        </w:rPr>
        <w:t>nötr</w:t>
      </w:r>
      <w:proofErr w:type="gramEnd"/>
      <w:r>
        <w:rPr>
          <w:rFonts w:ascii="Arial" w:hAnsi="Arial" w:cs="Arial"/>
          <w:color w:val="000000"/>
          <w:spacing w:val="-1"/>
        </w:rPr>
        <w:t xml:space="preserve"> etki bekleyebiliriz.</w:t>
      </w:r>
    </w:p>
    <w:p w:rsidR="00893572" w:rsidRDefault="00893572"/>
    <w:sectPr w:rsidR="00893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41"/>
    <w:rsid w:val="00505741"/>
    <w:rsid w:val="00893572"/>
    <w:rsid w:val="00E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5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5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2024-05-13T12:51:00Z</dcterms:created>
  <dcterms:modified xsi:type="dcterms:W3CDTF">2024-05-13T12:51:00Z</dcterms:modified>
</cp:coreProperties>
</file>