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8A6" w:rsidRDefault="001B18A6" w:rsidP="00743987">
      <w:pPr>
        <w:rPr>
          <w:noProof/>
          <w:lang w:eastAsia="tr-TR"/>
        </w:rPr>
      </w:pPr>
      <w:r>
        <w:t xml:space="preserve">Koç Holding (KCHOL) </w:t>
      </w:r>
      <w:bookmarkStart w:id="0" w:name="_GoBack"/>
      <w:bookmarkEnd w:id="0"/>
      <w:r>
        <w:t xml:space="preserve">2025 yılı 3.çeyreğinde 7,65 milyar TL net kar açıkladı. Çeyreklik </w:t>
      </w:r>
      <w:proofErr w:type="gramStart"/>
      <w:r>
        <w:t>bazda</w:t>
      </w:r>
      <w:proofErr w:type="gramEnd"/>
      <w:r>
        <w:t xml:space="preserve"> bakıldığında net karda %1’lik azalış izlenirken yıllık görünümde zarardan kara geçiş dikkat çekti. Holding’in kombine net karı %1.247 artışla 20,2 milyar TL’ye yükseldi. Karlılık artışında enerji ve finans </w:t>
      </w:r>
      <w:proofErr w:type="spellStart"/>
      <w:r>
        <w:t>segmentleri</w:t>
      </w:r>
      <w:proofErr w:type="spellEnd"/>
      <w:r>
        <w:t xml:space="preserve"> belirleyici olurken, otomotivde </w:t>
      </w:r>
      <w:proofErr w:type="gramStart"/>
      <w:r>
        <w:t>marj</w:t>
      </w:r>
      <w:proofErr w:type="gramEnd"/>
      <w:r>
        <w:t xml:space="preserve"> baskısı ve dayanıklı tüketimde zayıf iç talep öne çıkan sınırlayıcı unsurlar oldu</w:t>
      </w:r>
    </w:p>
    <w:p w:rsidR="00743987" w:rsidRDefault="001B18A6" w:rsidP="00743987">
      <w:r>
        <w:rPr>
          <w:noProof/>
          <w:lang w:eastAsia="tr-TR"/>
        </w:rPr>
        <w:drawing>
          <wp:inline distT="0" distB="0" distL="0" distR="0">
            <wp:extent cx="5760720" cy="2917953"/>
            <wp:effectExtent l="0" t="0" r="0" b="0"/>
            <wp:docPr id="2" name="Resim 2" descr="https://www.gcmyatirim.com.tr/wp-content/uploads/2025/11/07/kchol-tablo_17625008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gcmyatirim.com.tr/wp-content/uploads/2025/11/07/kchol-tablo_1762500849.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2917953"/>
                    </a:xfrm>
                    <a:prstGeom prst="rect">
                      <a:avLst/>
                    </a:prstGeom>
                    <a:noFill/>
                    <a:ln>
                      <a:noFill/>
                    </a:ln>
                  </pic:spPr>
                </pic:pic>
              </a:graphicData>
            </a:graphic>
          </wp:inline>
        </w:drawing>
      </w:r>
    </w:p>
    <w:p w:rsidR="001B18A6" w:rsidRDefault="001B18A6" w:rsidP="001B18A6">
      <w:pPr>
        <w:pStyle w:val="NormalWeb"/>
      </w:pPr>
      <w:r>
        <w:t>Satış gelirleri geçtiğimiz yılın aynı dönemine göre %8 azalış kaydederek 688.860 milyon TL olarak gerçekleşti. Bir önceki çeyreğe göre ise satış gelirlerinde %14 oranında artış izlendi.</w:t>
      </w:r>
    </w:p>
    <w:p w:rsidR="001B18A6" w:rsidRDefault="001B18A6" w:rsidP="001B18A6">
      <w:pPr>
        <w:pStyle w:val="NormalWeb"/>
      </w:pPr>
      <w:r>
        <w:t xml:space="preserve">Net kar </w:t>
      </w:r>
      <w:proofErr w:type="gramStart"/>
      <w:r>
        <w:t>marjı</w:t>
      </w:r>
      <w:proofErr w:type="gramEnd"/>
      <w:r>
        <w:t xml:space="preserve"> 3.çeyrekte 1,11% olurken, önceki çeyrekte 1,27% ve geçen yılın aynı çeyreğinde -0,59% olmuştu. Brüt kar </w:t>
      </w:r>
      <w:proofErr w:type="gramStart"/>
      <w:r>
        <w:t>marjı</w:t>
      </w:r>
      <w:proofErr w:type="gramEnd"/>
      <w:r>
        <w:t xml:space="preserve"> 3.çeyrekte %16,49 olurken, önceki çeyrekte 17,17% ve geçen yılın aynı döneminde 12,96% olarak gerçekleşmişti.</w:t>
      </w:r>
    </w:p>
    <w:p w:rsidR="001B18A6" w:rsidRDefault="001B18A6" w:rsidP="001B18A6">
      <w:pPr>
        <w:pStyle w:val="NormalWeb"/>
      </w:pPr>
      <w:r>
        <w:t xml:space="preserve">FAVÖK 2025 yılı 3. çeyreğinde geçen yılın aynı çeyreğine göre %56 artışla 58.901 milyon TL olarak gerçekleşti. Bir önceki çeyreğe göre ise </w:t>
      </w:r>
      <w:proofErr w:type="spellStart"/>
      <w:r>
        <w:t>FAVÖK’te</w:t>
      </w:r>
      <w:proofErr w:type="spellEnd"/>
      <w:r>
        <w:t xml:space="preserve"> %19’luk artış dikkat çekti. FAVÖK </w:t>
      </w:r>
      <w:proofErr w:type="gramStart"/>
      <w:r>
        <w:t>marjı</w:t>
      </w:r>
      <w:proofErr w:type="gramEnd"/>
      <w:r>
        <w:t xml:space="preserve"> ise 3. çeyrekte geçen yılın aynı çeyreğine göre 3,50 puan artışla %8,55 oldu. Bir önceki çeyrekte FAVÖK </w:t>
      </w:r>
      <w:proofErr w:type="gramStart"/>
      <w:r>
        <w:t>marjı</w:t>
      </w:r>
      <w:proofErr w:type="gramEnd"/>
      <w:r>
        <w:t xml:space="preserve"> %8,17 seviyesindeydi. Çeyreklik </w:t>
      </w:r>
      <w:proofErr w:type="gramStart"/>
      <w:r>
        <w:t>bazda</w:t>
      </w:r>
      <w:proofErr w:type="gramEnd"/>
      <w:r>
        <w:t xml:space="preserve"> FAVÖK marjında 0,38 puan artış gerçekleşti.</w:t>
      </w:r>
    </w:p>
    <w:p w:rsidR="001B18A6" w:rsidRDefault="001B18A6" w:rsidP="001B18A6">
      <w:pPr>
        <w:pStyle w:val="Balk2"/>
      </w:pPr>
      <w:proofErr w:type="spellStart"/>
      <w:r>
        <w:rPr>
          <w:rStyle w:val="Gl"/>
          <w:b/>
          <w:bCs/>
        </w:rPr>
        <w:t>Segment</w:t>
      </w:r>
      <w:proofErr w:type="spellEnd"/>
      <w:r>
        <w:rPr>
          <w:rStyle w:val="Gl"/>
          <w:b/>
          <w:bCs/>
        </w:rPr>
        <w:t xml:space="preserve"> Performansları</w:t>
      </w:r>
    </w:p>
    <w:p w:rsidR="001B18A6" w:rsidRDefault="001B18A6" w:rsidP="001B18A6">
      <w:pPr>
        <w:pStyle w:val="NormalWeb"/>
      </w:pPr>
      <w:r>
        <w:t xml:space="preserve">2025 yılı üçüncü çeyreğinde toplam kombine gelirlerini yıllık </w:t>
      </w:r>
      <w:proofErr w:type="gramStart"/>
      <w:r>
        <w:t>bazda</w:t>
      </w:r>
      <w:proofErr w:type="gramEnd"/>
      <w:r>
        <w:t xml:space="preserve"> %1 artışla 1,15 trilyon TL seviyesinde gerçekleştirdi. </w:t>
      </w:r>
      <w:proofErr w:type="spellStart"/>
      <w:r>
        <w:t>Segmentler</w:t>
      </w:r>
      <w:proofErr w:type="spellEnd"/>
      <w:r>
        <w:t xml:space="preserve"> bazında bakıldığında, enerji grubu yüksek kapasite kullanımı ve </w:t>
      </w:r>
      <w:proofErr w:type="spellStart"/>
      <w:r>
        <w:t>operasyonel</w:t>
      </w:r>
      <w:proofErr w:type="spellEnd"/>
      <w:r>
        <w:t xml:space="preserve"> verimlilikle %14 artış kaydeden faaliyet karı sayesinde </w:t>
      </w:r>
      <w:proofErr w:type="gramStart"/>
      <w:r>
        <w:t>konsolide</w:t>
      </w:r>
      <w:proofErr w:type="gramEnd"/>
      <w:r>
        <w:t xml:space="preserve"> sonuçlara en güçlü katkıyı verdi. Otomotiv </w:t>
      </w:r>
      <w:proofErr w:type="spellStart"/>
      <w:r>
        <w:t>segmentinde</w:t>
      </w:r>
      <w:proofErr w:type="spellEnd"/>
      <w:r>
        <w:t xml:space="preserve"> gelirler %17 artarken, artan elektrikli araç payı ve fiyat rekabeti faaliyet karlılığındaki artışı sınırladı.</w:t>
      </w:r>
    </w:p>
    <w:p w:rsidR="001B18A6" w:rsidRDefault="001B18A6" w:rsidP="001B18A6">
      <w:pPr>
        <w:pStyle w:val="NormalWeb"/>
      </w:pPr>
      <w:r>
        <w:t xml:space="preserve">Dayanıklı tüketim </w:t>
      </w:r>
      <w:proofErr w:type="spellStart"/>
      <w:r>
        <w:t>segmentinde</w:t>
      </w:r>
      <w:proofErr w:type="spellEnd"/>
      <w:r>
        <w:t xml:space="preserve"> zayıf iç ve dış talep nedeniyle gelirler %11 geriledi, ancak düşük ham madde maliyetleri ve </w:t>
      </w:r>
      <w:proofErr w:type="spellStart"/>
      <w:r>
        <w:t>operasyonel</w:t>
      </w:r>
      <w:proofErr w:type="spellEnd"/>
      <w:r>
        <w:t xml:space="preserve"> iyileşme faaliyet karını destekledi. Finans </w:t>
      </w:r>
      <w:proofErr w:type="spellStart"/>
      <w:r>
        <w:t>segmentinde</w:t>
      </w:r>
      <w:proofErr w:type="spellEnd"/>
      <w:r>
        <w:t xml:space="preserve"> gelirler yatay kalmakla birlikte, gider yönetimi ve </w:t>
      </w:r>
      <w:proofErr w:type="gramStart"/>
      <w:r>
        <w:t>baz</w:t>
      </w:r>
      <w:proofErr w:type="gramEnd"/>
      <w:r>
        <w:t xml:space="preserve"> etkisinin desteğiyle net kar yıllık bazda %87 yükseldi.</w:t>
      </w:r>
    </w:p>
    <w:p w:rsidR="001B18A6" w:rsidRDefault="001B18A6" w:rsidP="00743987">
      <w:r>
        <w:rPr>
          <w:noProof/>
          <w:lang w:eastAsia="tr-TR"/>
        </w:rPr>
        <w:lastRenderedPageBreak/>
        <w:drawing>
          <wp:inline distT="0" distB="0" distL="0" distR="0">
            <wp:extent cx="5760720" cy="3217936"/>
            <wp:effectExtent l="0" t="0" r="0" b="1905"/>
            <wp:docPr id="3" name="Resim 3" descr="https://www.gcmyatirim.com.tr/wp-content/uploads/2025/11/07/tablo-2_17625008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gcmyatirim.com.tr/wp-content/uploads/2025/11/07/tablo-2_1762500875.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3217936"/>
                    </a:xfrm>
                    <a:prstGeom prst="rect">
                      <a:avLst/>
                    </a:prstGeom>
                    <a:noFill/>
                    <a:ln>
                      <a:noFill/>
                    </a:ln>
                  </pic:spPr>
                </pic:pic>
              </a:graphicData>
            </a:graphic>
          </wp:inline>
        </w:drawing>
      </w:r>
    </w:p>
    <w:p w:rsidR="001B18A6" w:rsidRDefault="001B18A6" w:rsidP="001B18A6">
      <w:pPr>
        <w:pStyle w:val="NormalWeb"/>
      </w:pPr>
      <w:r>
        <w:rPr>
          <w:rStyle w:val="Vurgu"/>
          <w:b/>
          <w:bCs/>
        </w:rPr>
        <w:t>Kaynak:</w:t>
      </w:r>
      <w:r>
        <w:rPr>
          <w:rStyle w:val="Vurgu"/>
        </w:rPr>
        <w:t> KCHOL Finansal Sonuçlar Sunumu</w:t>
      </w:r>
    </w:p>
    <w:p w:rsidR="001B18A6" w:rsidRDefault="001B18A6" w:rsidP="001B18A6">
      <w:pPr>
        <w:pStyle w:val="Balk2"/>
      </w:pPr>
      <w:r>
        <w:rPr>
          <w:rStyle w:val="Gl"/>
          <w:b/>
          <w:bCs/>
        </w:rPr>
        <w:t xml:space="preserve">Enerji </w:t>
      </w:r>
      <w:proofErr w:type="spellStart"/>
      <w:r>
        <w:rPr>
          <w:rStyle w:val="Gl"/>
          <w:b/>
          <w:bCs/>
        </w:rPr>
        <w:t>segmenti</w:t>
      </w:r>
      <w:proofErr w:type="spellEnd"/>
    </w:p>
    <w:p w:rsidR="001B18A6" w:rsidRDefault="001B18A6" w:rsidP="001B18A6">
      <w:pPr>
        <w:pStyle w:val="NormalWeb"/>
      </w:pPr>
      <w:r>
        <w:t xml:space="preserve">Enerji </w:t>
      </w:r>
      <w:proofErr w:type="spellStart"/>
      <w:r>
        <w:t>segmentinde</w:t>
      </w:r>
      <w:proofErr w:type="spellEnd"/>
      <w:r>
        <w:t xml:space="preserve"> 2025 yılı ilk dokuz ayında güçlü bir performans izlendi. Güçlü yurtiçi talep, beyaz ürün veriminde kaydedilen iyileşme ve yüksek kapasite kullanım oranı </w:t>
      </w:r>
      <w:proofErr w:type="spellStart"/>
      <w:r>
        <w:t>segmentin</w:t>
      </w:r>
      <w:proofErr w:type="spellEnd"/>
      <w:r>
        <w:t xml:space="preserve"> </w:t>
      </w:r>
      <w:proofErr w:type="spellStart"/>
      <w:r>
        <w:t>operasyonel</w:t>
      </w:r>
      <w:proofErr w:type="spellEnd"/>
      <w:r>
        <w:t xml:space="preserve"> sonuçlarını destekledi. Elverişli ürün </w:t>
      </w:r>
      <w:proofErr w:type="gramStart"/>
      <w:r>
        <w:t>marjları</w:t>
      </w:r>
      <w:proofErr w:type="gramEnd"/>
      <w:r>
        <w:t xml:space="preserve"> ve Stratejik Dönüşüm Planı kapsamında yapılan düzenlemeler de karlılığa olumlu katkı sağladı. Ancak daralan fiyat farkları ve artan enerji maliyetleri dönem içinde </w:t>
      </w:r>
      <w:proofErr w:type="gramStart"/>
      <w:r>
        <w:t>marjlar</w:t>
      </w:r>
      <w:proofErr w:type="gramEnd"/>
      <w:r>
        <w:t xml:space="preserve"> üzerinde sınırlayıcı etki yarattı. Tüm bu gelişmeler sonucunda enerji </w:t>
      </w:r>
      <w:proofErr w:type="spellStart"/>
      <w:r>
        <w:t>segmentinin</w:t>
      </w:r>
      <w:proofErr w:type="spellEnd"/>
      <w:r>
        <w:t xml:space="preserve"> </w:t>
      </w:r>
      <w:proofErr w:type="gramStart"/>
      <w:r>
        <w:t>konsolide</w:t>
      </w:r>
      <w:proofErr w:type="gramEnd"/>
      <w:r>
        <w:t xml:space="preserve"> net kara katkısı 9.676 milyon TL seviyesinde gerçekleşerek yıllık bazda %32 artış gösterdi.</w:t>
      </w:r>
    </w:p>
    <w:p w:rsidR="001B18A6" w:rsidRDefault="001B18A6" w:rsidP="001B18A6">
      <w:pPr>
        <w:pStyle w:val="Balk2"/>
      </w:pPr>
      <w:r>
        <w:rPr>
          <w:rStyle w:val="Gl"/>
          <w:b/>
          <w:bCs/>
        </w:rPr>
        <w:t xml:space="preserve">Otomotiv </w:t>
      </w:r>
      <w:proofErr w:type="spellStart"/>
      <w:r>
        <w:rPr>
          <w:rStyle w:val="Gl"/>
          <w:b/>
          <w:bCs/>
        </w:rPr>
        <w:t>segmenti</w:t>
      </w:r>
      <w:proofErr w:type="spellEnd"/>
    </w:p>
    <w:p w:rsidR="001B18A6" w:rsidRDefault="001B18A6" w:rsidP="001B18A6">
      <w:pPr>
        <w:pStyle w:val="NormalWeb"/>
      </w:pPr>
      <w:r>
        <w:t xml:space="preserve">Koç Holding’in otomotiv </w:t>
      </w:r>
      <w:proofErr w:type="spellStart"/>
      <w:r>
        <w:t>segmentinde</w:t>
      </w:r>
      <w:proofErr w:type="spellEnd"/>
      <w:r>
        <w:t xml:space="preserve"> 2025 yılı ilk dokuz ayında güçlü talep koşulları korunmakla birlikte karlılık tarafında baskılar öne çıktı. Güçlü iç pazar talebi, vergi artış beklentisiyle öne çekilen satışlarla desteklenirken kur avantajı ihracat performansını olumlu etkiledi. Ortak girişimler aracılığıyla gerçekleştirilen sağlam ihracat sözleşmeleri ve güçlü pazar konumu, </w:t>
      </w:r>
      <w:proofErr w:type="spellStart"/>
      <w:r>
        <w:t>segmentin</w:t>
      </w:r>
      <w:proofErr w:type="spellEnd"/>
      <w:r>
        <w:t xml:space="preserve"> ölçek avantajlarından faydalanma potansiyelini artırdı.</w:t>
      </w:r>
    </w:p>
    <w:p w:rsidR="001B18A6" w:rsidRDefault="001B18A6" w:rsidP="001B18A6">
      <w:pPr>
        <w:pStyle w:val="NormalWeb"/>
      </w:pPr>
      <w:r>
        <w:t xml:space="preserve">Öte yandan, pazarı genişleten ancak </w:t>
      </w:r>
      <w:proofErr w:type="gramStart"/>
      <w:r>
        <w:t>marjları</w:t>
      </w:r>
      <w:proofErr w:type="gramEnd"/>
      <w:r>
        <w:t xml:space="preserve"> baskılayan yüksek elektrikli araç talebi, yoğun fiyat rekabeti ve enflasyonist ortamda artan maliyetler karlılık üzerinde aşağı yönlü etki yarattı. Bu çerçevede otomotiv </w:t>
      </w:r>
      <w:proofErr w:type="spellStart"/>
      <w:r>
        <w:t>segmentinin</w:t>
      </w:r>
      <w:proofErr w:type="spellEnd"/>
      <w:r>
        <w:t xml:space="preserve"> </w:t>
      </w:r>
      <w:proofErr w:type="gramStart"/>
      <w:r>
        <w:t>konsolide</w:t>
      </w:r>
      <w:proofErr w:type="gramEnd"/>
      <w:r>
        <w:t xml:space="preserve"> net kara katkısı 11.069 milyon TL seviyesinde gerçekleşirken, yıllık bazda %38 oranında düşüş kaydedildi.</w:t>
      </w:r>
    </w:p>
    <w:p w:rsidR="001B18A6" w:rsidRDefault="001B18A6" w:rsidP="001B18A6">
      <w:pPr>
        <w:pStyle w:val="Balk2"/>
      </w:pPr>
      <w:r>
        <w:rPr>
          <w:rStyle w:val="Gl"/>
          <w:b/>
          <w:bCs/>
        </w:rPr>
        <w:t xml:space="preserve">Dayanıklı Tüketim </w:t>
      </w:r>
      <w:proofErr w:type="spellStart"/>
      <w:r>
        <w:rPr>
          <w:rStyle w:val="Gl"/>
          <w:b/>
          <w:bCs/>
        </w:rPr>
        <w:t>Segmenti</w:t>
      </w:r>
      <w:proofErr w:type="spellEnd"/>
    </w:p>
    <w:p w:rsidR="001B18A6" w:rsidRDefault="001B18A6" w:rsidP="001B18A6">
      <w:pPr>
        <w:pStyle w:val="NormalWeb"/>
      </w:pPr>
      <w:r>
        <w:t xml:space="preserve">2025 yılı ilk dokuz ayında </w:t>
      </w:r>
      <w:proofErr w:type="spellStart"/>
      <w:r>
        <w:t>operasyonel</w:t>
      </w:r>
      <w:proofErr w:type="spellEnd"/>
      <w:r>
        <w:t xml:space="preserve"> görünüm zayıf seyretmiştir. Avantajlı EUR/USD paritesi, </w:t>
      </w:r>
      <w:proofErr w:type="spellStart"/>
      <w:r>
        <w:t>Whirlpool’un</w:t>
      </w:r>
      <w:proofErr w:type="spellEnd"/>
      <w:r>
        <w:t xml:space="preserve"> katkısıyla sağlanan </w:t>
      </w:r>
      <w:proofErr w:type="gramStart"/>
      <w:r>
        <w:t>sinerji</w:t>
      </w:r>
      <w:proofErr w:type="gramEnd"/>
      <w:r>
        <w:t xml:space="preserve"> ve maliyet tasarrufu ile düşük ham madde </w:t>
      </w:r>
      <w:r>
        <w:lastRenderedPageBreak/>
        <w:t xml:space="preserve">maliyetleri </w:t>
      </w:r>
      <w:proofErr w:type="spellStart"/>
      <w:r>
        <w:t>segmentin</w:t>
      </w:r>
      <w:proofErr w:type="spellEnd"/>
      <w:r>
        <w:t xml:space="preserve"> </w:t>
      </w:r>
      <w:proofErr w:type="spellStart"/>
      <w:r>
        <w:t>operasyonel</w:t>
      </w:r>
      <w:proofErr w:type="spellEnd"/>
      <w:r>
        <w:t xml:space="preserve"> karlılığını destekledi. Buna karşın, iç pazarda zayıf talep, dış pazarlarda süregelen durgunluk, Türkiye pazarında artan fiyat rekabeti ve ürün karmasındaki değişim karlılık üzerinde baskı yarattı. Ayrıca fiyat baskısı ve artan rekabet koşulları da </w:t>
      </w:r>
      <w:proofErr w:type="gramStart"/>
      <w:r>
        <w:t>marjları</w:t>
      </w:r>
      <w:proofErr w:type="gramEnd"/>
      <w:r>
        <w:t xml:space="preserve"> sınırladı. Bu doğrultuda dayanıklı tüketim </w:t>
      </w:r>
      <w:proofErr w:type="spellStart"/>
      <w:r>
        <w:t>segmentinin</w:t>
      </w:r>
      <w:proofErr w:type="spellEnd"/>
      <w:r>
        <w:t xml:space="preserve"> </w:t>
      </w:r>
      <w:proofErr w:type="gramStart"/>
      <w:r>
        <w:t>konsolide</w:t>
      </w:r>
      <w:proofErr w:type="gramEnd"/>
      <w:r>
        <w:t xml:space="preserve"> net kara katkısı -3.239 milyon TL seviyesinde gerçekleşerek, döneme negatif katkı sundu.</w:t>
      </w:r>
    </w:p>
    <w:p w:rsidR="001B18A6" w:rsidRDefault="001B18A6" w:rsidP="001B18A6">
      <w:pPr>
        <w:pStyle w:val="Balk2"/>
      </w:pPr>
      <w:r>
        <w:rPr>
          <w:rStyle w:val="Gl"/>
          <w:b/>
          <w:bCs/>
        </w:rPr>
        <w:t xml:space="preserve">Finans </w:t>
      </w:r>
      <w:proofErr w:type="spellStart"/>
      <w:r>
        <w:rPr>
          <w:rStyle w:val="Gl"/>
          <w:b/>
          <w:bCs/>
        </w:rPr>
        <w:t>Segmenti</w:t>
      </w:r>
      <w:proofErr w:type="spellEnd"/>
    </w:p>
    <w:p w:rsidR="001B18A6" w:rsidRDefault="001B18A6" w:rsidP="001B18A6">
      <w:pPr>
        <w:pStyle w:val="NormalWeb"/>
      </w:pPr>
      <w:r>
        <w:t xml:space="preserve">2025 yılı ilk dokuz ayında </w:t>
      </w:r>
      <w:proofErr w:type="spellStart"/>
      <w:r>
        <w:t>operasyonel</w:t>
      </w:r>
      <w:proofErr w:type="spellEnd"/>
      <w:r>
        <w:t xml:space="preserve"> görünüm büyük ölçüde istikrarlı seyrini korumuştur. Güçlü net faiz </w:t>
      </w:r>
      <w:proofErr w:type="gramStart"/>
      <w:r>
        <w:t>marjı</w:t>
      </w:r>
      <w:proofErr w:type="gramEnd"/>
      <w:r>
        <w:t xml:space="preserve"> dinamikleri gelirlerde toparlanmayı desteklerken, kredilerde kar odaklı stratejinin sürdürülmesi </w:t>
      </w:r>
      <w:proofErr w:type="spellStart"/>
      <w:r>
        <w:t>segment</w:t>
      </w:r>
      <w:proofErr w:type="spellEnd"/>
      <w:r>
        <w:t xml:space="preserve"> karlılığına olumlu katkı sağladı. Temel bankacılık gelirlerini destekleyen güçlü komisyon büyümesi ve tahsili gecikmiş alacak girişlerinde gözlenen iyileşme, aktif kalitesindeki olumlu trendi güçlendirdi. Ayrıca </w:t>
      </w:r>
      <w:proofErr w:type="spellStart"/>
      <w:r>
        <w:t>segment</w:t>
      </w:r>
      <w:proofErr w:type="spellEnd"/>
      <w:r>
        <w:t xml:space="preserve"> genelinde güçlü sermaye tamponlarının korunması dikkat çekti. Bununla birlikte, yüksek </w:t>
      </w:r>
      <w:proofErr w:type="gramStart"/>
      <w:r>
        <w:t>baz</w:t>
      </w:r>
      <w:proofErr w:type="gramEnd"/>
      <w:r>
        <w:t xml:space="preserve"> yılı etkisi ve finansal giderlerdeki artış nedeniyle finans </w:t>
      </w:r>
      <w:proofErr w:type="spellStart"/>
      <w:r>
        <w:t>segmentinin</w:t>
      </w:r>
      <w:proofErr w:type="spellEnd"/>
      <w:r>
        <w:t xml:space="preserve"> konsolide net kara katkısı -711 milyon TL seviyesinde gerçekleşmiş, yıllık bazda %96 oranında daralma göstermiştir.</w:t>
      </w:r>
    </w:p>
    <w:p w:rsidR="001B18A6" w:rsidRDefault="001B18A6" w:rsidP="00743987">
      <w:r>
        <w:rPr>
          <w:noProof/>
          <w:lang w:eastAsia="tr-TR"/>
        </w:rPr>
        <w:drawing>
          <wp:inline distT="0" distB="0" distL="0" distR="0">
            <wp:extent cx="5760720" cy="3003419"/>
            <wp:effectExtent l="0" t="0" r="0" b="6985"/>
            <wp:docPr id="4" name="Resim 4" descr="https://www.gcmyatirim.com.tr/wp-content/uploads/2025/11/07/tablo-3_17625009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gcmyatirim.com.tr/wp-content/uploads/2025/11/07/tablo-3_1762500913.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3003419"/>
                    </a:xfrm>
                    <a:prstGeom prst="rect">
                      <a:avLst/>
                    </a:prstGeom>
                    <a:noFill/>
                    <a:ln>
                      <a:noFill/>
                    </a:ln>
                  </pic:spPr>
                </pic:pic>
              </a:graphicData>
            </a:graphic>
          </wp:inline>
        </w:drawing>
      </w:r>
    </w:p>
    <w:p w:rsidR="001B18A6" w:rsidRDefault="001B18A6" w:rsidP="00743987">
      <w:r>
        <w:rPr>
          <w:noProof/>
          <w:lang w:eastAsia="tr-TR"/>
        </w:rPr>
        <w:lastRenderedPageBreak/>
        <w:drawing>
          <wp:inline distT="0" distB="0" distL="0" distR="0">
            <wp:extent cx="5760720" cy="4880610"/>
            <wp:effectExtent l="0" t="0" r="0" b="0"/>
            <wp:docPr id="5" name="Resim 5" descr="https://www.gcmyatirim.com.tr/wp-content/uploads/2025/11/07/iskonto-2_17625009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gcmyatirim.com.tr/wp-content/uploads/2025/11/07/iskonto-2_176250093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4880610"/>
                    </a:xfrm>
                    <a:prstGeom prst="rect">
                      <a:avLst/>
                    </a:prstGeom>
                    <a:noFill/>
                    <a:ln>
                      <a:noFill/>
                    </a:ln>
                  </pic:spPr>
                </pic:pic>
              </a:graphicData>
            </a:graphic>
          </wp:inline>
        </w:drawing>
      </w:r>
    </w:p>
    <w:p w:rsidR="001B18A6" w:rsidRDefault="001B18A6" w:rsidP="001B18A6">
      <w:pPr>
        <w:pStyle w:val="NormalWeb"/>
      </w:pPr>
      <w:r>
        <w:rPr>
          <w:rStyle w:val="Gl"/>
        </w:rPr>
        <w:t>2025/09 dönemi</w:t>
      </w:r>
      <w:r>
        <w:t> itibarıyla Koç Holding için SOTP (</w:t>
      </w:r>
      <w:proofErr w:type="spellStart"/>
      <w:r>
        <w:t>Sum</w:t>
      </w:r>
      <w:proofErr w:type="spellEnd"/>
      <w:r>
        <w:t xml:space="preserve"> of </w:t>
      </w:r>
      <w:proofErr w:type="spellStart"/>
      <w:r>
        <w:t>the</w:t>
      </w:r>
      <w:proofErr w:type="spellEnd"/>
      <w:r>
        <w:t xml:space="preserve"> </w:t>
      </w:r>
      <w:proofErr w:type="spellStart"/>
      <w:r>
        <w:t>Parts</w:t>
      </w:r>
      <w:proofErr w:type="spellEnd"/>
      <w:r>
        <w:t xml:space="preserve">) yöntemine dayalı piyasa </w:t>
      </w:r>
      <w:proofErr w:type="gramStart"/>
      <w:r>
        <w:t>bazlı</w:t>
      </w:r>
      <w:proofErr w:type="gramEnd"/>
      <w:r>
        <w:t xml:space="preserve"> Net Aktif Değer (NAD) analizi gerçekleştirilmiştir. Halka açık iştiraklerin güncel piyasa değerleri ile özel şirketlerin tahmini piyasa değerleri (çarpan ve </w:t>
      </w:r>
      <w:proofErr w:type="spellStart"/>
      <w:r>
        <w:t>sektörel</w:t>
      </w:r>
      <w:proofErr w:type="spellEnd"/>
      <w:r>
        <w:t xml:space="preserve"> karşılaştırmalarla hesaplanmış) dikkate alınarak Holding’in toplam </w:t>
      </w:r>
      <w:proofErr w:type="gramStart"/>
      <w:r>
        <w:t>portföy</w:t>
      </w:r>
      <w:proofErr w:type="gramEnd"/>
      <w:r>
        <w:t xml:space="preserve"> değeri yaklaşık </w:t>
      </w:r>
      <w:r>
        <w:rPr>
          <w:rStyle w:val="Gl"/>
        </w:rPr>
        <w:t>1,14 milyar TL</w:t>
      </w:r>
      <w:r>
        <w:t> olarak hesaplanmıştır.</w:t>
      </w:r>
    </w:p>
    <w:p w:rsidR="001B18A6" w:rsidRDefault="001B18A6" w:rsidP="001B18A6">
      <w:pPr>
        <w:pStyle w:val="NormalWeb"/>
      </w:pPr>
      <w:r>
        <w:t>Bu tutar, mevcut ödenmiş sermaye esas alındığında, hisse başına </w:t>
      </w:r>
      <w:proofErr w:type="spellStart"/>
      <w:r>
        <w:rPr>
          <w:rStyle w:val="Gl"/>
        </w:rPr>
        <w:t>iskontosuz</w:t>
      </w:r>
      <w:proofErr w:type="spellEnd"/>
      <w:r>
        <w:rPr>
          <w:rStyle w:val="Gl"/>
        </w:rPr>
        <w:t xml:space="preserve"> NAD değerini model tarafından hesaplanan 447,28 TL</w:t>
      </w:r>
      <w:r>
        <w:t> seviyesinde göstermektedir. Ancak, 2023/06 – 2025/09 dönemleri dikkate alındığında, Koç Holding hissesi tarihsel olarak ortalama </w:t>
      </w:r>
      <w:r>
        <w:rPr>
          <w:rStyle w:val="Gl"/>
        </w:rPr>
        <w:t xml:space="preserve">%40 NAD </w:t>
      </w:r>
      <w:proofErr w:type="spellStart"/>
      <w:r>
        <w:rPr>
          <w:rStyle w:val="Gl"/>
        </w:rPr>
        <w:t>iskontosu</w:t>
      </w:r>
      <w:proofErr w:type="spellEnd"/>
      <w:r>
        <w:t xml:space="preserve"> ile işlem görmüştür. Bu oran </w:t>
      </w:r>
      <w:proofErr w:type="gramStart"/>
      <w:r>
        <w:t>baz</w:t>
      </w:r>
      <w:proofErr w:type="gramEnd"/>
      <w:r>
        <w:t xml:space="preserve"> alındığında, revize edilmiş hedef fiyat </w:t>
      </w:r>
      <w:r>
        <w:rPr>
          <w:rStyle w:val="Gl"/>
        </w:rPr>
        <w:t>267,03 TL</w:t>
      </w:r>
      <w:r>
        <w:t> seviyesine denk gelmektedir.</w:t>
      </w:r>
    </w:p>
    <w:p w:rsidR="001B18A6" w:rsidRDefault="001B18A6" w:rsidP="001B18A6">
      <w:pPr>
        <w:pStyle w:val="NormalWeb"/>
      </w:pPr>
      <w:r>
        <w:t>Böylece, mevcut </w:t>
      </w:r>
      <w:r>
        <w:rPr>
          <w:rStyle w:val="Gl"/>
        </w:rPr>
        <w:t>piyasa fiyatına</w:t>
      </w:r>
      <w:r>
        <w:t> kıyasla hissede yaklaşık </w:t>
      </w:r>
      <w:r>
        <w:rPr>
          <w:rStyle w:val="Gl"/>
        </w:rPr>
        <w:t>%54 yükseliş potansiyeli</w:t>
      </w:r>
      <w:r>
        <w:t xml:space="preserve"> öngörülmektedir. NAD </w:t>
      </w:r>
      <w:proofErr w:type="spellStart"/>
      <w:r>
        <w:t>iskonto</w:t>
      </w:r>
      <w:proofErr w:type="spellEnd"/>
      <w:r>
        <w:t xml:space="preserve"> oranının tarihsel ortalamalara yakın seyretmesi ve iştirak </w:t>
      </w:r>
      <w:proofErr w:type="gramStart"/>
      <w:r>
        <w:t>portföyündeki</w:t>
      </w:r>
      <w:proofErr w:type="gramEnd"/>
      <w:r>
        <w:t xml:space="preserve"> güçlü kârlılık eğiliminin devam etmesi halinde, hissenin </w:t>
      </w:r>
      <w:r>
        <w:rPr>
          <w:rStyle w:val="Gl"/>
        </w:rPr>
        <w:t>yaklaşık 260 – 300 TL bandına</w:t>
      </w:r>
      <w:r>
        <w:t> doğru yakınsaması olası görünmektedir.</w:t>
      </w:r>
    </w:p>
    <w:p w:rsidR="001B18A6" w:rsidRDefault="001B18A6" w:rsidP="001B18A6">
      <w:pPr>
        <w:pStyle w:val="NormalWeb"/>
      </w:pPr>
      <w:r>
        <w:t xml:space="preserve">Portföy değerinde öngörülen büyüme, iştiraklerdeki </w:t>
      </w:r>
      <w:proofErr w:type="spellStart"/>
      <w:r>
        <w:t>operasyonel</w:t>
      </w:r>
      <w:proofErr w:type="spellEnd"/>
      <w:r>
        <w:t xml:space="preserve"> kârlılık artışı ve temettü akışlarının sürmesi, bu potansiyeli destekleyen temel unsurlar arasında yer almaktadır. Kısa vadeli piyasa volatilitesi ve </w:t>
      </w:r>
      <w:proofErr w:type="gramStart"/>
      <w:r>
        <w:t>makro ekonomik</w:t>
      </w:r>
      <w:proofErr w:type="gramEnd"/>
      <w:r>
        <w:t xml:space="preserve"> riskler dikkate alındığında, bu değerlendirme orta-uzun vadeli bir perspektifi yansıtmaktadır.</w:t>
      </w:r>
    </w:p>
    <w:p w:rsidR="001B18A6" w:rsidRDefault="001B18A6" w:rsidP="00743987">
      <w:r>
        <w:rPr>
          <w:noProof/>
          <w:lang w:eastAsia="tr-TR"/>
        </w:rPr>
        <w:lastRenderedPageBreak/>
        <w:drawing>
          <wp:inline distT="0" distB="0" distL="0" distR="0">
            <wp:extent cx="5760720" cy="3447797"/>
            <wp:effectExtent l="0" t="0" r="0" b="635"/>
            <wp:docPr id="6" name="Resim 6" descr="https://www.gcmyatirim.com.tr/wp-content/uploads/2025/11/07/fd-favok_17625009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gcmyatirim.com.tr/wp-content/uploads/2025/11/07/fd-favok_176250095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3447797"/>
                    </a:xfrm>
                    <a:prstGeom prst="rect">
                      <a:avLst/>
                    </a:prstGeom>
                    <a:noFill/>
                    <a:ln>
                      <a:noFill/>
                    </a:ln>
                  </pic:spPr>
                </pic:pic>
              </a:graphicData>
            </a:graphic>
          </wp:inline>
        </w:drawing>
      </w:r>
    </w:p>
    <w:p w:rsidR="001B18A6" w:rsidRPr="00743987" w:rsidRDefault="001B18A6" w:rsidP="00743987">
      <w:r>
        <w:rPr>
          <w:noProof/>
          <w:lang w:eastAsia="tr-TR"/>
        </w:rPr>
        <w:drawing>
          <wp:inline distT="0" distB="0" distL="0" distR="0">
            <wp:extent cx="5760720" cy="3310366"/>
            <wp:effectExtent l="0" t="0" r="0" b="4445"/>
            <wp:docPr id="7" name="Resim 7" descr="https://www.gcmyatirim.com.tr/wp-content/uploads/2025/11/07/fd-net-satis_17625009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gcmyatirim.com.tr/wp-content/uploads/2025/11/07/fd-net-satis_1762500964.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3310366"/>
                    </a:xfrm>
                    <a:prstGeom prst="rect">
                      <a:avLst/>
                    </a:prstGeom>
                    <a:noFill/>
                    <a:ln>
                      <a:noFill/>
                    </a:ln>
                  </pic:spPr>
                </pic:pic>
              </a:graphicData>
            </a:graphic>
          </wp:inline>
        </w:drawing>
      </w:r>
    </w:p>
    <w:sectPr w:rsidR="001B18A6" w:rsidRPr="007439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E20"/>
    <w:rsid w:val="00026E20"/>
    <w:rsid w:val="001B18A6"/>
    <w:rsid w:val="00477527"/>
    <w:rsid w:val="00743987"/>
    <w:rsid w:val="007B30A6"/>
    <w:rsid w:val="00A970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477527"/>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477527"/>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47752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77527"/>
    <w:rPr>
      <w:b/>
      <w:bCs/>
    </w:rPr>
  </w:style>
  <w:style w:type="paragraph" w:styleId="BalonMetni">
    <w:name w:val="Balloon Text"/>
    <w:basedOn w:val="Normal"/>
    <w:link w:val="BalonMetniChar"/>
    <w:uiPriority w:val="99"/>
    <w:semiHidden/>
    <w:unhideWhenUsed/>
    <w:rsid w:val="0047752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77527"/>
    <w:rPr>
      <w:rFonts w:ascii="Tahoma" w:hAnsi="Tahoma" w:cs="Tahoma"/>
      <w:sz w:val="16"/>
      <w:szCs w:val="16"/>
    </w:rPr>
  </w:style>
  <w:style w:type="character" w:styleId="Vurgu">
    <w:name w:val="Emphasis"/>
    <w:basedOn w:val="VarsaylanParagrafYazTipi"/>
    <w:uiPriority w:val="20"/>
    <w:qFormat/>
    <w:rsid w:val="007B30A6"/>
    <w:rPr>
      <w:i/>
      <w:iCs/>
    </w:rPr>
  </w:style>
  <w:style w:type="character" w:styleId="Kpr">
    <w:name w:val="Hyperlink"/>
    <w:basedOn w:val="VarsaylanParagrafYazTipi"/>
    <w:uiPriority w:val="99"/>
    <w:semiHidden/>
    <w:unhideWhenUsed/>
    <w:rsid w:val="007B30A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477527"/>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477527"/>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47752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77527"/>
    <w:rPr>
      <w:b/>
      <w:bCs/>
    </w:rPr>
  </w:style>
  <w:style w:type="paragraph" w:styleId="BalonMetni">
    <w:name w:val="Balloon Text"/>
    <w:basedOn w:val="Normal"/>
    <w:link w:val="BalonMetniChar"/>
    <w:uiPriority w:val="99"/>
    <w:semiHidden/>
    <w:unhideWhenUsed/>
    <w:rsid w:val="0047752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77527"/>
    <w:rPr>
      <w:rFonts w:ascii="Tahoma" w:hAnsi="Tahoma" w:cs="Tahoma"/>
      <w:sz w:val="16"/>
      <w:szCs w:val="16"/>
    </w:rPr>
  </w:style>
  <w:style w:type="character" w:styleId="Vurgu">
    <w:name w:val="Emphasis"/>
    <w:basedOn w:val="VarsaylanParagrafYazTipi"/>
    <w:uiPriority w:val="20"/>
    <w:qFormat/>
    <w:rsid w:val="007B30A6"/>
    <w:rPr>
      <w:i/>
      <w:iCs/>
    </w:rPr>
  </w:style>
  <w:style w:type="character" w:styleId="Kpr">
    <w:name w:val="Hyperlink"/>
    <w:basedOn w:val="VarsaylanParagrafYazTipi"/>
    <w:uiPriority w:val="99"/>
    <w:semiHidden/>
    <w:unhideWhenUsed/>
    <w:rsid w:val="007B30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94535">
      <w:bodyDiv w:val="1"/>
      <w:marLeft w:val="0"/>
      <w:marRight w:val="0"/>
      <w:marTop w:val="0"/>
      <w:marBottom w:val="0"/>
      <w:divBdr>
        <w:top w:val="none" w:sz="0" w:space="0" w:color="auto"/>
        <w:left w:val="none" w:sz="0" w:space="0" w:color="auto"/>
        <w:bottom w:val="none" w:sz="0" w:space="0" w:color="auto"/>
        <w:right w:val="none" w:sz="0" w:space="0" w:color="auto"/>
      </w:divBdr>
    </w:div>
    <w:div w:id="275794810">
      <w:bodyDiv w:val="1"/>
      <w:marLeft w:val="0"/>
      <w:marRight w:val="0"/>
      <w:marTop w:val="0"/>
      <w:marBottom w:val="0"/>
      <w:divBdr>
        <w:top w:val="none" w:sz="0" w:space="0" w:color="auto"/>
        <w:left w:val="none" w:sz="0" w:space="0" w:color="auto"/>
        <w:bottom w:val="none" w:sz="0" w:space="0" w:color="auto"/>
        <w:right w:val="none" w:sz="0" w:space="0" w:color="auto"/>
      </w:divBdr>
    </w:div>
    <w:div w:id="353851608">
      <w:bodyDiv w:val="1"/>
      <w:marLeft w:val="0"/>
      <w:marRight w:val="0"/>
      <w:marTop w:val="0"/>
      <w:marBottom w:val="0"/>
      <w:divBdr>
        <w:top w:val="none" w:sz="0" w:space="0" w:color="auto"/>
        <w:left w:val="none" w:sz="0" w:space="0" w:color="auto"/>
        <w:bottom w:val="none" w:sz="0" w:space="0" w:color="auto"/>
        <w:right w:val="none" w:sz="0" w:space="0" w:color="auto"/>
      </w:divBdr>
    </w:div>
    <w:div w:id="530412158">
      <w:bodyDiv w:val="1"/>
      <w:marLeft w:val="0"/>
      <w:marRight w:val="0"/>
      <w:marTop w:val="0"/>
      <w:marBottom w:val="0"/>
      <w:divBdr>
        <w:top w:val="none" w:sz="0" w:space="0" w:color="auto"/>
        <w:left w:val="none" w:sz="0" w:space="0" w:color="auto"/>
        <w:bottom w:val="none" w:sz="0" w:space="0" w:color="auto"/>
        <w:right w:val="none" w:sz="0" w:space="0" w:color="auto"/>
      </w:divBdr>
    </w:div>
    <w:div w:id="1362511500">
      <w:bodyDiv w:val="1"/>
      <w:marLeft w:val="0"/>
      <w:marRight w:val="0"/>
      <w:marTop w:val="0"/>
      <w:marBottom w:val="0"/>
      <w:divBdr>
        <w:top w:val="none" w:sz="0" w:space="0" w:color="auto"/>
        <w:left w:val="none" w:sz="0" w:space="0" w:color="auto"/>
        <w:bottom w:val="none" w:sz="0" w:space="0" w:color="auto"/>
        <w:right w:val="none" w:sz="0" w:space="0" w:color="auto"/>
      </w:divBdr>
    </w:div>
    <w:div w:id="1560363629">
      <w:bodyDiv w:val="1"/>
      <w:marLeft w:val="0"/>
      <w:marRight w:val="0"/>
      <w:marTop w:val="0"/>
      <w:marBottom w:val="0"/>
      <w:divBdr>
        <w:top w:val="none" w:sz="0" w:space="0" w:color="auto"/>
        <w:left w:val="none" w:sz="0" w:space="0" w:color="auto"/>
        <w:bottom w:val="none" w:sz="0" w:space="0" w:color="auto"/>
        <w:right w:val="none" w:sz="0" w:space="0" w:color="auto"/>
      </w:divBdr>
    </w:div>
    <w:div w:id="202462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934</Words>
  <Characters>5326</Characters>
  <Application>Microsoft Office Word</Application>
  <DocSecurity>0</DocSecurity>
  <Lines>44</Lines>
  <Paragraphs>12</Paragraphs>
  <ScaleCrop>false</ScaleCrop>
  <Company/>
  <LinksUpToDate>false</LinksUpToDate>
  <CharactersWithSpaces>6248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ÖMER FARUK ÖZTÜRK</dc:creator>
  <cp:keywords/>
  <dc:description/>
  <cp:lastModifiedBy>ÖMER FARUK ÖZTÜRK</cp:lastModifiedBy>
  <cp:revision>9</cp:revision>
  <dcterms:created xsi:type="dcterms:W3CDTF">2025-11-03T14:23:00Z</dcterms:created>
  <dcterms:modified xsi:type="dcterms:W3CDTF">2025-11-07T22:22:00Z</dcterms:modified>
</cp:coreProperties>
</file>