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987" w:rsidRDefault="00743987" w:rsidP="00743987">
      <w:pPr>
        <w:pStyle w:val="Balk2"/>
      </w:pPr>
      <w:r>
        <w:rPr>
          <w:rStyle w:val="Gl"/>
          <w:b/>
          <w:bCs/>
        </w:rPr>
        <w:t>“TCELL İstikrarlı güçlü çeyreklik sonuçlar ile İlerlemeyi sürdürüyor…”</w:t>
      </w:r>
    </w:p>
    <w:p w:rsidR="00743987" w:rsidRDefault="00743987" w:rsidP="00743987">
      <w:pPr>
        <w:pStyle w:val="NormalWeb"/>
      </w:pPr>
      <w:proofErr w:type="spellStart"/>
      <w:proofErr w:type="gramStart"/>
      <w:r>
        <w:t>TCELL</w:t>
      </w:r>
      <w:r>
        <w:t>’in</w:t>
      </w:r>
      <w:proofErr w:type="spellEnd"/>
      <w:r>
        <w:t xml:space="preserve"> 2025/3 çeyrek finansal sonuçlarında dikkat çeken unsurlar arasında stratejik iş alanların desteğinin, </w:t>
      </w:r>
      <w:proofErr w:type="spellStart"/>
      <w:r>
        <w:t>Tecfin</w:t>
      </w:r>
      <w:proofErr w:type="spellEnd"/>
      <w:r>
        <w:t xml:space="preserve"> gelir büyümesi Yaklaşık olarak %20’lerde, Veri Merkezi ve Bulut Gelir Büyümesinin %51’lerde olması, Güneş enerjisi kapasitesinin 37,5 MW a çıkması, Faturalı Abone Kazanımının 569 bin olması, </w:t>
      </w:r>
      <w:proofErr w:type="spellStart"/>
      <w:r>
        <w:t>Turcell</w:t>
      </w:r>
      <w:proofErr w:type="spellEnd"/>
      <w:r>
        <w:t xml:space="preserve"> Fiber Abone kazanımının  33 bin artması olarak görülmektedir.  </w:t>
      </w:r>
      <w:proofErr w:type="gramEnd"/>
      <w:r>
        <w:t xml:space="preserve">FAVÖK </w:t>
      </w:r>
      <w:proofErr w:type="gramStart"/>
      <w:r>
        <w:t>marjının</w:t>
      </w:r>
      <w:proofErr w:type="gramEnd"/>
      <w:r>
        <w:t xml:space="preserve"> yıllık bazda yaklaşık %44’lerde oluşmuş ve  Net Kar ise 5,9 Milyar TL olarak kaydedilmiştir.</w:t>
      </w:r>
    </w:p>
    <w:p w:rsidR="00743987" w:rsidRDefault="00743987" w:rsidP="00743987">
      <w:pPr>
        <w:pStyle w:val="NormalWeb"/>
      </w:pPr>
      <w:proofErr w:type="spellStart"/>
      <w:r>
        <w:t>Aswath</w:t>
      </w:r>
      <w:proofErr w:type="spellEnd"/>
      <w:r>
        <w:t xml:space="preserve"> </w:t>
      </w:r>
      <w:proofErr w:type="spellStart"/>
      <w:r>
        <w:t>Damodaran’ın</w:t>
      </w:r>
      <w:proofErr w:type="spellEnd"/>
      <w:r>
        <w:t xml:space="preserve"> Avrupa kıtasında 63 </w:t>
      </w:r>
      <w:proofErr w:type="spellStart"/>
      <w:r>
        <w:t>telekom</w:t>
      </w:r>
      <w:proofErr w:type="spellEnd"/>
      <w:r>
        <w:t xml:space="preserve"> firmalarının ortalama F/K oranı 30,41 olup beklenen F/K oranı ise 15,63 olup PD/DD ise 1,35’tir. </w:t>
      </w:r>
      <w:proofErr w:type="spellStart"/>
      <w:r>
        <w:rPr>
          <w:rStyle w:val="Gl"/>
        </w:rPr>
        <w:t>TCELL’in</w:t>
      </w:r>
      <w:proofErr w:type="spellEnd"/>
      <w:r>
        <w:rPr>
          <w:rStyle w:val="Gl"/>
        </w:rPr>
        <w:t xml:space="preserve"> bu dönem için hesaplanan F/</w:t>
      </w:r>
      <w:proofErr w:type="spellStart"/>
      <w:r>
        <w:rPr>
          <w:rStyle w:val="Gl"/>
        </w:rPr>
        <w:t>K’sı</w:t>
      </w:r>
      <w:proofErr w:type="spellEnd"/>
      <w:r>
        <w:rPr>
          <w:rStyle w:val="Gl"/>
        </w:rPr>
        <w:t xml:space="preserve"> 23,49 sektörün ise 21’dir. Firmanın PD/DD ise 0,92ve sektör ortalaması ise 0,93’dür. Model </w:t>
      </w:r>
      <w:proofErr w:type="gramStart"/>
      <w:r>
        <w:rPr>
          <w:rStyle w:val="Gl"/>
        </w:rPr>
        <w:t>portföyümüzde</w:t>
      </w:r>
      <w:proofErr w:type="gramEnd"/>
      <w:r>
        <w:rPr>
          <w:rStyle w:val="Gl"/>
        </w:rPr>
        <w:t xml:space="preserve"> de olan </w:t>
      </w:r>
      <w:proofErr w:type="spellStart"/>
      <w:r>
        <w:rPr>
          <w:rStyle w:val="Gl"/>
        </w:rPr>
        <w:t>TCELL’in</w:t>
      </w:r>
      <w:proofErr w:type="spellEnd"/>
      <w:r>
        <w:rPr>
          <w:rStyle w:val="Gl"/>
        </w:rPr>
        <w:t xml:space="preserve"> hedef fiyatını %66 getiri potansiyeli ile </w:t>
      </w:r>
      <w:bookmarkStart w:id="0" w:name="_GoBack"/>
      <w:r>
        <w:rPr>
          <w:rStyle w:val="Gl"/>
        </w:rPr>
        <w:t xml:space="preserve">162,47 TL </w:t>
      </w:r>
      <w:bookmarkEnd w:id="0"/>
      <w:r>
        <w:rPr>
          <w:rStyle w:val="Gl"/>
        </w:rPr>
        <w:t>olarak koruyoruz ve portföyümüzde tutmaya devam ediyoruz.</w:t>
      </w:r>
    </w:p>
    <w:p w:rsidR="00A970DD" w:rsidRDefault="00743987" w:rsidP="00743987">
      <w:r>
        <w:rPr>
          <w:noProof/>
          <w:lang w:eastAsia="tr-TR"/>
        </w:rPr>
        <w:drawing>
          <wp:inline distT="0" distB="0" distL="0" distR="0">
            <wp:extent cx="5760720" cy="4117110"/>
            <wp:effectExtent l="0" t="0" r="0" b="0"/>
            <wp:docPr id="1" name="Resim 1" descr="https://www.gcmyatirim.com.tr/wp-content/uploads/2025/11/07/tcell-resim-1_1762518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cmyatirim.com.tr/wp-content/uploads/2025/11/07/tcell-resim-1_176251884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3987" w:rsidRPr="00743987" w:rsidRDefault="00743987" w:rsidP="00743987">
      <w:proofErr w:type="spellStart"/>
      <w:r>
        <w:t>TCELL’in</w:t>
      </w:r>
      <w:proofErr w:type="spellEnd"/>
      <w:r>
        <w:t xml:space="preserve"> 2025/3 Çeyrek bilanço analizinde dikey analizine bakıldığında Dönen Varlıkların Aktif içindeki payı bir önceki yılın aynı dönemine göre (2024/3) %37’lerden %38’lere çıkmış buradaki en büyük pay da Nakit vb. olmuştur. Nakit ve Nakit Benzerleri kaleminin ağırlığı yaklaşık olarak %25’lerde iken bir önceki yılın aynı dönemine göre yine %25’lerde olmuştur. Karşılığında ise Duran Varlıklarda Finansal Yatırımlarda %3’lerden %5’lere çıkmış olduğu görülmektedir. Duran varlık kalemi de %62,33’lerde yine  %62’lerde </w:t>
      </w:r>
      <w:proofErr w:type="gramStart"/>
      <w:r>
        <w:t>stabil</w:t>
      </w:r>
      <w:proofErr w:type="gramEnd"/>
      <w:r>
        <w:t xml:space="preserve"> kalmıştır. Pasif tarafta ise Kısa Vadeli Yükümlüklerin payı azalırken, Uzun Vadeli Yükümlülüklerin payı artmıştır. </w:t>
      </w:r>
      <w:proofErr w:type="spellStart"/>
      <w:r>
        <w:t>Özkaynaklar</w:t>
      </w:r>
      <w:proofErr w:type="spellEnd"/>
      <w:r>
        <w:t xml:space="preserve"> ise yaklaşık 3 </w:t>
      </w:r>
      <w:proofErr w:type="gramStart"/>
      <w:r>
        <w:t>baz</w:t>
      </w:r>
      <w:proofErr w:type="gramEnd"/>
      <w:r>
        <w:t xml:space="preserve"> puanlık bir azalış göstermiştir. 2025/2 </w:t>
      </w:r>
      <w:r>
        <w:lastRenderedPageBreak/>
        <w:t xml:space="preserve">çeyrekte pasifin yaklaşık %48’i </w:t>
      </w:r>
      <w:proofErr w:type="spellStart"/>
      <w:r>
        <w:t>Özkaynaklardan</w:t>
      </w:r>
      <w:proofErr w:type="spellEnd"/>
      <w:r>
        <w:t xml:space="preserve">, %30’u Uzun Vadeli Yükümlülüklerden ve %22’si ise Kısa Vadeli Yükümlülüklerden oluşmuştur. </w:t>
      </w:r>
      <w:proofErr w:type="spellStart"/>
      <w:r>
        <w:t>TCELL’in</w:t>
      </w:r>
      <w:proofErr w:type="spellEnd"/>
      <w:r>
        <w:t xml:space="preserve"> Net Satışları bir önceki çeyreğe göre %21 artarken bir yıl önce aynı döneme göre ise %11artış göstermiştir. </w:t>
      </w:r>
      <w:proofErr w:type="spellStart"/>
      <w:r>
        <w:t>FAVÖK’ün</w:t>
      </w:r>
      <w:proofErr w:type="spellEnd"/>
      <w:r>
        <w:t xml:space="preserve"> bir önceki döneme göre %21 artması  2024/3 çeyreğe göre %20 artması dikkat çekicidir. Bu durum için maliyetlerin optimize edilmesi çalışmasının sonucu olduğu söylenebilir. </w:t>
      </w:r>
      <w:r>
        <w:rPr>
          <w:rStyle w:val="Gl"/>
        </w:rPr>
        <w:t xml:space="preserve">Net Kar bir önceki döneme göre %1 artsa da yıllıkta %25 azalmıştır.  Bu azalışın önemli detaylarından birisi Durdurulan Faaliyetlerden Karlar kaleminden kaynaklandığı görülmektedir. Aslında yıllık </w:t>
      </w:r>
      <w:proofErr w:type="gramStart"/>
      <w:r>
        <w:rPr>
          <w:rStyle w:val="Gl"/>
        </w:rPr>
        <w:t>bazda</w:t>
      </w:r>
      <w:proofErr w:type="gramEnd"/>
      <w:r>
        <w:rPr>
          <w:rStyle w:val="Gl"/>
        </w:rPr>
        <w:t xml:space="preserve"> ise 2024/3 Sürdürülen Faaliyetlerden Karlar kısmı yaklaşık 4,1 Milyar TL iken bu %34’lük artışla yaklaşık 6 Milyar TL’ye ulaşmıştır.</w:t>
      </w:r>
    </w:p>
    <w:sectPr w:rsidR="00743987" w:rsidRPr="0074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E20"/>
    <w:rsid w:val="00026E20"/>
    <w:rsid w:val="00477527"/>
    <w:rsid w:val="00743987"/>
    <w:rsid w:val="007B30A6"/>
    <w:rsid w:val="00A9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75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75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52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B30A6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3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75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752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77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7752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775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77527"/>
    <w:rPr>
      <w:rFonts w:ascii="Tahoma" w:hAnsi="Tahoma" w:cs="Tahoma"/>
      <w:sz w:val="16"/>
      <w:szCs w:val="16"/>
    </w:rPr>
  </w:style>
  <w:style w:type="character" w:styleId="Vurgu">
    <w:name w:val="Emphasis"/>
    <w:basedOn w:val="VarsaylanParagrafYazTipi"/>
    <w:uiPriority w:val="20"/>
    <w:qFormat/>
    <w:rsid w:val="007B30A6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7B3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7</cp:revision>
  <dcterms:created xsi:type="dcterms:W3CDTF">2025-11-03T14:23:00Z</dcterms:created>
  <dcterms:modified xsi:type="dcterms:W3CDTF">2025-11-07T19:05:00Z</dcterms:modified>
</cp:coreProperties>
</file>