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B3A" w:rsidRDefault="000A6B3A" w:rsidP="000A6B3A">
      <w:pPr>
        <w:pStyle w:val="Balk1"/>
        <w:spacing w:before="0" w:beforeAutospacing="0" w:after="75" w:afterAutospacing="0" w:line="360" w:lineRule="atLeast"/>
        <w:textAlignment w:val="baseline"/>
        <w:rPr>
          <w:rFonts w:ascii="inherit" w:hAnsi="inherit"/>
          <w:color w:val="1D567D"/>
          <w:sz w:val="33"/>
          <w:szCs w:val="33"/>
        </w:rPr>
      </w:pPr>
    </w:p>
    <w:p w:rsidR="000A6B3A" w:rsidRDefault="000A6B3A" w:rsidP="000A6B3A">
      <w:pPr>
        <w:pStyle w:val="Balk1"/>
        <w:spacing w:before="0" w:beforeAutospacing="0" w:after="75" w:afterAutospacing="0" w:line="360" w:lineRule="atLeast"/>
        <w:textAlignment w:val="baseline"/>
        <w:rPr>
          <w:rFonts w:ascii="inherit" w:hAnsi="inherit"/>
          <w:color w:val="1D567D"/>
          <w:sz w:val="33"/>
          <w:szCs w:val="33"/>
        </w:rPr>
      </w:pPr>
      <w:r>
        <w:rPr>
          <w:rFonts w:ascii="inherit" w:hAnsi="inherit"/>
          <w:color w:val="1D567D"/>
          <w:sz w:val="33"/>
          <w:szCs w:val="33"/>
        </w:rPr>
        <w:t>GCM Yatırım</w:t>
      </w:r>
    </w:p>
    <w:p w:rsidR="000A6B3A" w:rsidRDefault="000A6B3A" w:rsidP="000A6B3A">
      <w:pPr>
        <w:pStyle w:val="Balk1"/>
        <w:spacing w:before="0" w:beforeAutospacing="0" w:after="75" w:afterAutospacing="0" w:line="360" w:lineRule="atLeast"/>
        <w:textAlignment w:val="baseline"/>
        <w:rPr>
          <w:rFonts w:ascii="inherit" w:hAnsi="inherit"/>
          <w:color w:val="1D567D"/>
          <w:sz w:val="33"/>
          <w:szCs w:val="33"/>
        </w:rPr>
      </w:pPr>
      <w:proofErr w:type="spellStart"/>
      <w:r>
        <w:rPr>
          <w:rFonts w:ascii="inherit" w:hAnsi="inherit"/>
          <w:color w:val="1D567D"/>
          <w:sz w:val="33"/>
          <w:szCs w:val="33"/>
        </w:rPr>
        <w:t>Turkcell</w:t>
      </w:r>
      <w:proofErr w:type="spellEnd"/>
      <w:r>
        <w:rPr>
          <w:rFonts w:ascii="inherit" w:hAnsi="inherit"/>
          <w:color w:val="1D567D"/>
          <w:sz w:val="33"/>
          <w:szCs w:val="33"/>
        </w:rPr>
        <w:t xml:space="preserve"> (TCELL) 2025 2.Çeyrek Bilanço Analizi</w:t>
      </w:r>
    </w:p>
    <w:p w:rsidR="000A6B3A" w:rsidRDefault="000A6B3A" w:rsidP="000A6B3A">
      <w:pPr>
        <w:spacing w:line="330" w:lineRule="atLeast"/>
        <w:textAlignment w:val="baseline"/>
        <w:rPr>
          <w:rFonts w:ascii="inherit" w:hAnsi="inherit"/>
          <w:color w:val="5F676F"/>
          <w:sz w:val="24"/>
          <w:szCs w:val="24"/>
        </w:rPr>
      </w:pPr>
      <w:r>
        <w:rPr>
          <w:rFonts w:ascii="inherit" w:hAnsi="inherit"/>
          <w:color w:val="5F676F"/>
          <w:bdr w:val="none" w:sz="0" w:space="0" w:color="auto" w:frame="1"/>
        </w:rPr>
        <w:t>14 Ağustos 2025</w:t>
      </w:r>
      <w:r w:rsidR="006B1E41">
        <w:t xml:space="preserve"> GCM Araştırma &amp; Analiz </w:t>
      </w:r>
      <w:r>
        <w:rPr>
          <w:rFonts w:ascii="inherit" w:hAnsi="inherit"/>
          <w:color w:val="5F676F"/>
          <w:bdr w:val="none" w:sz="0" w:space="0" w:color="auto" w:frame="1"/>
        </w:rPr>
        <w:t xml:space="preserve">- Araştırma &amp; </w:t>
      </w:r>
      <w:proofErr w:type="spellStart"/>
      <w:r>
        <w:rPr>
          <w:rFonts w:ascii="inherit" w:hAnsi="inherit"/>
          <w:color w:val="5F676F"/>
          <w:bdr w:val="none" w:sz="0" w:space="0" w:color="auto" w:frame="1"/>
        </w:rPr>
        <w:t>AnalizBorsa</w:t>
      </w:r>
      <w:proofErr w:type="spellEnd"/>
    </w:p>
    <w:p w:rsidR="000A6B3A" w:rsidRDefault="000A6B3A" w:rsidP="000A6B3A">
      <w:pPr>
        <w:pStyle w:val="NormalWeb"/>
        <w:spacing w:before="0" w:beforeAutospacing="0" w:after="0" w:afterAutospacing="0" w:line="300" w:lineRule="atLeast"/>
        <w:ind w:left="150" w:right="150"/>
        <w:textAlignment w:val="baseline"/>
        <w:rPr>
          <w:rFonts w:ascii="inherit" w:hAnsi="inherit"/>
          <w:color w:val="000000"/>
        </w:rPr>
      </w:pPr>
      <w:r>
        <w:rPr>
          <w:rStyle w:val="Gl"/>
          <w:rFonts w:ascii="inherit" w:hAnsi="inherit"/>
          <w:color w:val="000000"/>
          <w:bdr w:val="none" w:sz="0" w:space="0" w:color="auto" w:frame="1"/>
        </w:rPr>
        <w:t>“TCELL Stratejik iş alanları desteği, güçlü net abone kazanımı ve İstikrarlı güçlü sonuçlar ile İlerlemeyi sürdürüyor…”</w:t>
      </w:r>
    </w:p>
    <w:p w:rsidR="000A6B3A" w:rsidRDefault="000A6B3A" w:rsidP="000A6B3A">
      <w:pPr>
        <w:pStyle w:val="NormalWeb"/>
        <w:spacing w:before="0" w:beforeAutospacing="0" w:after="0" w:afterAutospacing="0" w:line="300" w:lineRule="atLeast"/>
        <w:ind w:left="150" w:right="150"/>
        <w:textAlignment w:val="baseline"/>
        <w:rPr>
          <w:rFonts w:ascii="inherit" w:hAnsi="inherit"/>
          <w:color w:val="000000"/>
        </w:rPr>
      </w:pPr>
      <w:proofErr w:type="spellStart"/>
      <w:proofErr w:type="gramStart"/>
      <w:r>
        <w:rPr>
          <w:rFonts w:ascii="inherit" w:hAnsi="inherit"/>
          <w:color w:val="000000"/>
        </w:rPr>
        <w:t>Turkcell</w:t>
      </w:r>
      <w:proofErr w:type="spellEnd"/>
      <w:r>
        <w:rPr>
          <w:rFonts w:ascii="inherit" w:hAnsi="inherit"/>
          <w:color w:val="000000"/>
        </w:rPr>
        <w:t xml:space="preserve"> (</w:t>
      </w:r>
      <w:r w:rsidR="006B1E41">
        <w:rPr>
          <w:rFonts w:ascii="inherit" w:hAnsi="inherit"/>
          <w:b/>
          <w:bCs/>
          <w:bdr w:val="none" w:sz="0" w:space="0" w:color="auto" w:frame="1"/>
        </w:rPr>
        <w:t>TCELL</w:t>
      </w:r>
      <w:r>
        <w:rPr>
          <w:rFonts w:ascii="inherit" w:hAnsi="inherit"/>
          <w:color w:val="000000"/>
        </w:rPr>
        <w:t xml:space="preserve">)’in 2025/2 çeyrek finansal sonuçlarında dikkat çeken unsurlar arasında stratejik iş alanların desteğinin, </w:t>
      </w:r>
      <w:proofErr w:type="spellStart"/>
      <w:r>
        <w:rPr>
          <w:rFonts w:ascii="inherit" w:hAnsi="inherit"/>
          <w:color w:val="000000"/>
        </w:rPr>
        <w:t>Tecfin</w:t>
      </w:r>
      <w:proofErr w:type="spellEnd"/>
      <w:r>
        <w:rPr>
          <w:rFonts w:ascii="inherit" w:hAnsi="inherit"/>
          <w:color w:val="000000"/>
        </w:rPr>
        <w:t xml:space="preserve"> gelir büyümesi Yaklaşık olarak %23’lerde, Veri Merkezi ve Bulut </w:t>
      </w:r>
      <w:proofErr w:type="spellStart"/>
      <w:r>
        <w:rPr>
          <w:rFonts w:ascii="inherit" w:hAnsi="inherit"/>
          <w:color w:val="000000"/>
        </w:rPr>
        <w:t>Glir</w:t>
      </w:r>
      <w:proofErr w:type="spellEnd"/>
      <w:r>
        <w:rPr>
          <w:rFonts w:ascii="inherit" w:hAnsi="inherit"/>
          <w:color w:val="000000"/>
        </w:rPr>
        <w:t xml:space="preserve"> Büyümesinin %53’lerde olması, Güneş enerjisi kapasitesinin 28,2 MW a çıkması, son 5,5 yılın en yüksek net kazanımı olan Faturalı Abone Kazanımının 816 bin olması, </w:t>
      </w:r>
      <w:proofErr w:type="spellStart"/>
      <w:r>
        <w:rPr>
          <w:rFonts w:ascii="inherit" w:hAnsi="inherit"/>
          <w:color w:val="000000"/>
        </w:rPr>
        <w:t>Turcell</w:t>
      </w:r>
      <w:proofErr w:type="spellEnd"/>
      <w:r>
        <w:rPr>
          <w:rFonts w:ascii="inherit" w:hAnsi="inherit"/>
          <w:color w:val="000000"/>
        </w:rPr>
        <w:t xml:space="preserve"> Fiber Abone kazanımının  4bin artması olarak görülmektedir.  </w:t>
      </w:r>
      <w:proofErr w:type="gramEnd"/>
      <w:r>
        <w:rPr>
          <w:rFonts w:ascii="inherit" w:hAnsi="inherit"/>
          <w:color w:val="000000"/>
        </w:rPr>
        <w:t xml:space="preserve">FAVÖK </w:t>
      </w:r>
      <w:proofErr w:type="gramStart"/>
      <w:r>
        <w:rPr>
          <w:rFonts w:ascii="inherit" w:hAnsi="inherit"/>
          <w:color w:val="000000"/>
        </w:rPr>
        <w:t>marjındaki</w:t>
      </w:r>
      <w:proofErr w:type="gramEnd"/>
      <w:r>
        <w:rPr>
          <w:rFonts w:ascii="inherit" w:hAnsi="inherit"/>
          <w:color w:val="000000"/>
        </w:rPr>
        <w:t xml:space="preserve"> artış yıllık bazda %48 e çıkmış olup Net Kar ise 4,2 Milyar TL olarak kaydedilmiştir.</w:t>
      </w:r>
    </w:p>
    <w:p w:rsidR="000A6B3A" w:rsidRDefault="000A6B3A" w:rsidP="000A6B3A">
      <w:pPr>
        <w:pStyle w:val="NormalWeb"/>
        <w:spacing w:before="0" w:beforeAutospacing="0" w:after="0" w:afterAutospacing="0" w:line="300" w:lineRule="atLeast"/>
        <w:ind w:left="150" w:right="150"/>
        <w:textAlignment w:val="baseline"/>
        <w:rPr>
          <w:rFonts w:ascii="inherit" w:hAnsi="inherit"/>
          <w:color w:val="000000"/>
        </w:rPr>
      </w:pPr>
      <w:r>
        <w:rPr>
          <w:rFonts w:ascii="inherit" w:hAnsi="inherit"/>
          <w:color w:val="000000"/>
        </w:rPr>
        <w:t xml:space="preserve">İlk yarı performansı, %12 hacim büyümesi ve %48’lik FAVÖK </w:t>
      </w:r>
      <w:proofErr w:type="gramStart"/>
      <w:r>
        <w:rPr>
          <w:rFonts w:ascii="inherit" w:hAnsi="inherit"/>
          <w:color w:val="000000"/>
        </w:rPr>
        <w:t>marjıyla</w:t>
      </w:r>
      <w:proofErr w:type="gramEnd"/>
      <w:r>
        <w:rPr>
          <w:rFonts w:ascii="inherit" w:hAnsi="inherit"/>
          <w:color w:val="000000"/>
        </w:rPr>
        <w:t xml:space="preserve"> istikrarlı büyüme ve değer yaratma taahhüdü ortaya koymaya çalışılıyor. </w:t>
      </w:r>
      <w:proofErr w:type="spellStart"/>
      <w:r>
        <w:rPr>
          <w:rFonts w:ascii="inherit" w:hAnsi="inherit"/>
          <w:color w:val="000000"/>
        </w:rPr>
        <w:t>Aswath</w:t>
      </w:r>
      <w:proofErr w:type="spellEnd"/>
      <w:r>
        <w:rPr>
          <w:rFonts w:ascii="inherit" w:hAnsi="inherit"/>
          <w:color w:val="000000"/>
        </w:rPr>
        <w:t xml:space="preserve"> </w:t>
      </w:r>
      <w:proofErr w:type="spellStart"/>
      <w:r>
        <w:rPr>
          <w:rFonts w:ascii="inherit" w:hAnsi="inherit"/>
          <w:color w:val="000000"/>
        </w:rPr>
        <w:t>Damodaran’ın</w:t>
      </w:r>
      <w:proofErr w:type="spellEnd"/>
      <w:r>
        <w:rPr>
          <w:rFonts w:ascii="inherit" w:hAnsi="inherit"/>
          <w:color w:val="000000"/>
        </w:rPr>
        <w:t xml:space="preserve"> Avrupa kıtasında 63 </w:t>
      </w:r>
      <w:proofErr w:type="spellStart"/>
      <w:r>
        <w:rPr>
          <w:rFonts w:ascii="inherit" w:hAnsi="inherit"/>
          <w:color w:val="000000"/>
        </w:rPr>
        <w:t>telekom</w:t>
      </w:r>
      <w:proofErr w:type="spellEnd"/>
      <w:r>
        <w:rPr>
          <w:rFonts w:ascii="inherit" w:hAnsi="inherit"/>
          <w:color w:val="000000"/>
        </w:rPr>
        <w:t xml:space="preserve"> firmalarının ortalama F/K oranı 30,41 olup beklenen F/K oranı ise 15,63 olup PD/DD ise 1,35’tir. </w:t>
      </w:r>
      <w:proofErr w:type="spellStart"/>
      <w:r>
        <w:rPr>
          <w:rStyle w:val="Gl"/>
          <w:rFonts w:ascii="inherit" w:hAnsi="inherit"/>
          <w:color w:val="000000"/>
          <w:bdr w:val="none" w:sz="0" w:space="0" w:color="auto" w:frame="1"/>
        </w:rPr>
        <w:t>TCELL’in</w:t>
      </w:r>
      <w:proofErr w:type="spellEnd"/>
      <w:r>
        <w:rPr>
          <w:rStyle w:val="Gl"/>
          <w:rFonts w:ascii="inherit" w:hAnsi="inherit"/>
          <w:color w:val="000000"/>
          <w:bdr w:val="none" w:sz="0" w:space="0" w:color="auto" w:frame="1"/>
        </w:rPr>
        <w:t xml:space="preserve"> bu dönem için hesaplanan F/</w:t>
      </w:r>
      <w:proofErr w:type="spellStart"/>
      <w:r>
        <w:rPr>
          <w:rStyle w:val="Gl"/>
          <w:rFonts w:ascii="inherit" w:hAnsi="inherit"/>
          <w:color w:val="000000"/>
          <w:bdr w:val="none" w:sz="0" w:space="0" w:color="auto" w:frame="1"/>
        </w:rPr>
        <w:t>K’sı</w:t>
      </w:r>
      <w:proofErr w:type="spellEnd"/>
      <w:r>
        <w:rPr>
          <w:rStyle w:val="Gl"/>
          <w:rFonts w:ascii="inherit" w:hAnsi="inherit"/>
          <w:color w:val="000000"/>
          <w:bdr w:val="none" w:sz="0" w:space="0" w:color="auto" w:frame="1"/>
        </w:rPr>
        <w:t xml:space="preserve"> 9,26 sektörün ise 11,04’tür. Firmanın PD/DD ise 0,98 ve sektör ortalaması ise 1,01’dir. Model </w:t>
      </w:r>
      <w:proofErr w:type="gramStart"/>
      <w:r>
        <w:rPr>
          <w:rStyle w:val="Gl"/>
          <w:rFonts w:ascii="inherit" w:hAnsi="inherit"/>
          <w:color w:val="000000"/>
          <w:bdr w:val="none" w:sz="0" w:space="0" w:color="auto" w:frame="1"/>
        </w:rPr>
        <w:t>portföyümüzde</w:t>
      </w:r>
      <w:proofErr w:type="gramEnd"/>
      <w:r>
        <w:rPr>
          <w:rStyle w:val="Gl"/>
          <w:rFonts w:ascii="inherit" w:hAnsi="inherit"/>
          <w:color w:val="000000"/>
          <w:bdr w:val="none" w:sz="0" w:space="0" w:color="auto" w:frame="1"/>
        </w:rPr>
        <w:t xml:space="preserve"> de olan </w:t>
      </w:r>
      <w:proofErr w:type="spellStart"/>
      <w:r>
        <w:rPr>
          <w:rStyle w:val="Gl"/>
          <w:rFonts w:ascii="inherit" w:hAnsi="inherit"/>
          <w:color w:val="000000"/>
          <w:bdr w:val="none" w:sz="0" w:space="0" w:color="auto" w:frame="1"/>
        </w:rPr>
        <w:t>TCELL’in</w:t>
      </w:r>
      <w:proofErr w:type="spellEnd"/>
      <w:r>
        <w:rPr>
          <w:rStyle w:val="Gl"/>
          <w:rFonts w:ascii="inherit" w:hAnsi="inherit"/>
          <w:color w:val="000000"/>
          <w:bdr w:val="none" w:sz="0" w:space="0" w:color="auto" w:frame="1"/>
        </w:rPr>
        <w:t xml:space="preserve"> hedef fiyatını 153,90’dan   İndirgenmiş Nakit Akımları yöntemine göre tarafımızdan %66 getiri potansiyeli ile 162,47 TL olarak güncelliyor ve portföyümüzde tutmaya devam ediyoruz.</w:t>
      </w:r>
    </w:p>
    <w:p w:rsidR="000A6B3A" w:rsidRDefault="000A6B3A" w:rsidP="000A6B3A">
      <w:pPr>
        <w:pStyle w:val="NormalWeb"/>
        <w:spacing w:before="0" w:beforeAutospacing="0" w:after="0" w:afterAutospacing="0" w:line="300" w:lineRule="atLeast"/>
        <w:ind w:left="150" w:right="150"/>
        <w:textAlignment w:val="baseline"/>
        <w:rPr>
          <w:rFonts w:ascii="inherit" w:hAnsi="inherit"/>
          <w:color w:val="000000"/>
        </w:rPr>
      </w:pPr>
      <w:r>
        <w:rPr>
          <w:rFonts w:ascii="inherit" w:hAnsi="inherit"/>
          <w:b/>
          <w:bCs/>
          <w:noProof/>
          <w:color w:val="000000"/>
          <w:bdr w:val="none" w:sz="0" w:space="0" w:color="auto" w:frame="1"/>
        </w:rPr>
        <w:lastRenderedPageBreak/>
        <w:drawing>
          <wp:inline distT="0" distB="0" distL="0" distR="0">
            <wp:extent cx="10153650" cy="5114925"/>
            <wp:effectExtent l="0" t="0" r="0" b="9525"/>
            <wp:docPr id="14" name="Resim 14" descr="https://www.gcmyatirim.com.tr/wp-content/uploads/2025/08/14/tcell-1_1755178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cmyatirim.com.tr/wp-content/uploads/2025/08/14/tcell-1_175517809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53650" cy="5114925"/>
                    </a:xfrm>
                    <a:prstGeom prst="rect">
                      <a:avLst/>
                    </a:prstGeom>
                    <a:noFill/>
                    <a:ln>
                      <a:noFill/>
                    </a:ln>
                  </pic:spPr>
                </pic:pic>
              </a:graphicData>
            </a:graphic>
          </wp:inline>
        </w:drawing>
      </w:r>
    </w:p>
    <w:p w:rsidR="000A6B3A" w:rsidRDefault="000A6B3A" w:rsidP="000A6B3A">
      <w:pPr>
        <w:pStyle w:val="NormalWeb"/>
        <w:spacing w:before="0" w:beforeAutospacing="0" w:after="0" w:afterAutospacing="0" w:line="300" w:lineRule="atLeast"/>
        <w:ind w:left="150" w:right="150"/>
        <w:textAlignment w:val="baseline"/>
        <w:rPr>
          <w:rFonts w:ascii="inherit" w:hAnsi="inherit"/>
          <w:color w:val="000000"/>
        </w:rPr>
      </w:pPr>
      <w:bookmarkStart w:id="0" w:name="_GoBack"/>
      <w:proofErr w:type="spellStart"/>
      <w:r>
        <w:rPr>
          <w:rFonts w:ascii="inherit" w:hAnsi="inherit"/>
          <w:color w:val="000000"/>
        </w:rPr>
        <w:t>TCELL’in</w:t>
      </w:r>
      <w:proofErr w:type="spellEnd"/>
      <w:r>
        <w:rPr>
          <w:rFonts w:ascii="inherit" w:hAnsi="inherit"/>
          <w:color w:val="000000"/>
        </w:rPr>
        <w:t xml:space="preserve"> bilanço analizinde dikey analizine bakıldığında Dönen Varlıkların Aktif içindeki payı bir önceki yılın aynı dönemine göre (2024/2) %37’lerden %38’lere çıkmış buradaki en büyük pay da Nakit vb. düşüş olmuştur. Nakit ve Nakit Benzerleri kaleminin ağırlığı yaklaşık olarak %16,75’lerden %25,49’lara çıkmıştır. Karşılığında ise Duran Varlıklarda Finansal Yatırımlarda %2,23 den %4,46’ya çıkmış olduğu görülmektedir. Duran varlık kalemi de %62,33’lerden %61,98’lere inmiştir. Pasif tarafta ise Kısa Vadeli Yükümlüklerin payı azalırken, Uzun Vadeli Yükümlülüklerin payı artmıştır. </w:t>
      </w:r>
      <w:proofErr w:type="spellStart"/>
      <w:r>
        <w:rPr>
          <w:rFonts w:ascii="inherit" w:hAnsi="inherit"/>
          <w:color w:val="000000"/>
        </w:rPr>
        <w:t>Özkaynaklar</w:t>
      </w:r>
      <w:proofErr w:type="spellEnd"/>
      <w:r>
        <w:rPr>
          <w:rFonts w:ascii="inherit" w:hAnsi="inherit"/>
          <w:color w:val="000000"/>
        </w:rPr>
        <w:t xml:space="preserve"> ise yaklaşık 3 </w:t>
      </w:r>
      <w:proofErr w:type="gramStart"/>
      <w:r>
        <w:rPr>
          <w:rFonts w:ascii="inherit" w:hAnsi="inherit"/>
          <w:color w:val="000000"/>
        </w:rPr>
        <w:t>baz</w:t>
      </w:r>
      <w:proofErr w:type="gramEnd"/>
      <w:r>
        <w:rPr>
          <w:rFonts w:ascii="inherit" w:hAnsi="inherit"/>
          <w:color w:val="000000"/>
        </w:rPr>
        <w:t xml:space="preserve"> puanlık bir azalış göstermiştir. 2025/2 çeyrekte pasifin yaklaşık %48’i </w:t>
      </w:r>
      <w:proofErr w:type="spellStart"/>
      <w:r>
        <w:rPr>
          <w:rFonts w:ascii="inherit" w:hAnsi="inherit"/>
          <w:color w:val="000000"/>
        </w:rPr>
        <w:t>Özkaynaklardan</w:t>
      </w:r>
      <w:proofErr w:type="spellEnd"/>
      <w:r>
        <w:rPr>
          <w:rFonts w:ascii="inherit" w:hAnsi="inherit"/>
          <w:color w:val="000000"/>
        </w:rPr>
        <w:t xml:space="preserve">, %30’u Uzun Vadeli Yükümlülüklerden ve %22’si ise Kısa Vadeli Yükümlülüklerden oluşmuştur. </w:t>
      </w:r>
      <w:proofErr w:type="spellStart"/>
      <w:r>
        <w:rPr>
          <w:rFonts w:ascii="inherit" w:hAnsi="inherit"/>
          <w:color w:val="000000"/>
        </w:rPr>
        <w:t>TCELL’in</w:t>
      </w:r>
      <w:proofErr w:type="spellEnd"/>
      <w:r>
        <w:rPr>
          <w:rFonts w:ascii="inherit" w:hAnsi="inherit"/>
          <w:color w:val="000000"/>
        </w:rPr>
        <w:t xml:space="preserve"> Net Satışları bir önceki çeyreğe göre %11 artarken bir yıl önce aynı döneme göre ise %12 artış göstermiştir. </w:t>
      </w:r>
      <w:proofErr w:type="spellStart"/>
      <w:r>
        <w:rPr>
          <w:rFonts w:ascii="inherit" w:hAnsi="inherit"/>
          <w:color w:val="000000"/>
        </w:rPr>
        <w:t>FAVÖK’ün</w:t>
      </w:r>
      <w:proofErr w:type="spellEnd"/>
      <w:r>
        <w:rPr>
          <w:rFonts w:ascii="inherit" w:hAnsi="inherit"/>
          <w:color w:val="000000"/>
        </w:rPr>
        <w:t xml:space="preserve"> bir önceki döneme göre artmamasına rağmen 2024/2 çeyreğe göre %10 artması dikkat çekicidir. Bu durum için maliyetlerin optimize edilmesi çalışmasının sonucu olduğu söylenebilir. </w:t>
      </w:r>
      <w:r>
        <w:rPr>
          <w:rStyle w:val="Gl"/>
          <w:rFonts w:ascii="inherit" w:hAnsi="inherit"/>
          <w:color w:val="000000"/>
          <w:bdr w:val="none" w:sz="0" w:space="0" w:color="auto" w:frame="1"/>
        </w:rPr>
        <w:t>Net Kar bir önceki döneme göre %36 artsa da yıllıkta %7 artmıştır.  Bu artışın önemli detaylarından birisi Esas Faaliyetlerden Diğer Gelirler kaleminden kaynaklandığı görülmektedir.</w:t>
      </w:r>
    </w:p>
    <w:bookmarkEnd w:id="0"/>
    <w:p w:rsidR="000A6B3A" w:rsidRDefault="000A6B3A" w:rsidP="000A6B3A">
      <w:pPr>
        <w:pStyle w:val="NormalWeb"/>
        <w:spacing w:before="0" w:beforeAutospacing="0" w:after="225" w:afterAutospacing="0" w:line="300" w:lineRule="atLeast"/>
        <w:ind w:left="150" w:right="150"/>
        <w:textAlignment w:val="baseline"/>
        <w:rPr>
          <w:rFonts w:ascii="inherit" w:hAnsi="inherit"/>
          <w:color w:val="000000"/>
        </w:rPr>
      </w:pPr>
      <w:r>
        <w:rPr>
          <w:rFonts w:ascii="inherit" w:hAnsi="inherit"/>
          <w:noProof/>
          <w:color w:val="000000"/>
        </w:rPr>
        <w:lastRenderedPageBreak/>
        <w:drawing>
          <wp:inline distT="0" distB="0" distL="0" distR="0">
            <wp:extent cx="6591300" cy="1476375"/>
            <wp:effectExtent l="0" t="0" r="0" b="9525"/>
            <wp:docPr id="13" name="Resim 13" descr="https://www.gcmyatirim.com.tr/wp-content/uploads/2025/08/14/tcell-2_1755178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cmyatirim.com.tr/wp-content/uploads/2025/08/14/tcell-2_17551781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1300" cy="1476375"/>
                    </a:xfrm>
                    <a:prstGeom prst="rect">
                      <a:avLst/>
                    </a:prstGeom>
                    <a:noFill/>
                    <a:ln>
                      <a:noFill/>
                    </a:ln>
                  </pic:spPr>
                </pic:pic>
              </a:graphicData>
            </a:graphic>
          </wp:inline>
        </w:drawing>
      </w:r>
    </w:p>
    <w:p w:rsidR="000A6B3A" w:rsidRDefault="000A6B3A" w:rsidP="000A6B3A">
      <w:pPr>
        <w:pStyle w:val="NormalWeb"/>
        <w:spacing w:before="0" w:beforeAutospacing="0" w:after="0" w:afterAutospacing="0" w:line="300" w:lineRule="atLeast"/>
        <w:ind w:left="150" w:right="150"/>
        <w:textAlignment w:val="baseline"/>
        <w:rPr>
          <w:rFonts w:ascii="inherit" w:hAnsi="inherit"/>
          <w:color w:val="000000"/>
        </w:rPr>
      </w:pPr>
      <w:r>
        <w:rPr>
          <w:rFonts w:ascii="inherit" w:hAnsi="inherit"/>
          <w:b/>
          <w:bCs/>
          <w:noProof/>
          <w:color w:val="000000"/>
          <w:bdr w:val="none" w:sz="0" w:space="0" w:color="auto" w:frame="1"/>
        </w:rPr>
        <w:drawing>
          <wp:inline distT="0" distB="0" distL="0" distR="0">
            <wp:extent cx="12592050" cy="3048000"/>
            <wp:effectExtent l="0" t="0" r="0" b="0"/>
            <wp:docPr id="12" name="Resim 12" descr="https://www.gcmyatirim.com.tr/wp-content/uploads/2025/08/14/tcell-3_1755178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cmyatirim.com.tr/wp-content/uploads/2025/08/14/tcell-3_17551781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92050" cy="3048000"/>
                    </a:xfrm>
                    <a:prstGeom prst="rect">
                      <a:avLst/>
                    </a:prstGeom>
                    <a:noFill/>
                    <a:ln>
                      <a:noFill/>
                    </a:ln>
                  </pic:spPr>
                </pic:pic>
              </a:graphicData>
            </a:graphic>
          </wp:inline>
        </w:drawing>
      </w:r>
    </w:p>
    <w:p w:rsidR="000A6B3A" w:rsidRDefault="000A6B3A" w:rsidP="000A6B3A">
      <w:pPr>
        <w:pStyle w:val="NormalWeb"/>
        <w:spacing w:before="0" w:beforeAutospacing="0" w:after="0" w:afterAutospacing="0" w:line="300" w:lineRule="atLeast"/>
        <w:ind w:left="150" w:right="150"/>
        <w:textAlignment w:val="baseline"/>
        <w:rPr>
          <w:rFonts w:ascii="inherit" w:hAnsi="inherit"/>
          <w:color w:val="000000"/>
        </w:rPr>
      </w:pPr>
      <w:r>
        <w:rPr>
          <w:rFonts w:ascii="inherit" w:hAnsi="inherit"/>
          <w:b/>
          <w:bCs/>
          <w:noProof/>
          <w:color w:val="000000"/>
          <w:bdr w:val="none" w:sz="0" w:space="0" w:color="auto" w:frame="1"/>
        </w:rPr>
        <w:drawing>
          <wp:inline distT="0" distB="0" distL="0" distR="0">
            <wp:extent cx="12611100" cy="3057525"/>
            <wp:effectExtent l="0" t="0" r="0" b="9525"/>
            <wp:docPr id="11" name="Resim 11" descr="https://www.gcmyatirim.com.tr/wp-content/uploads/2025/08/14/tcell-4_1755178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cmyatirim.com.tr/wp-content/uploads/2025/08/14/tcell-4_175517814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11100" cy="3057525"/>
                    </a:xfrm>
                    <a:prstGeom prst="rect">
                      <a:avLst/>
                    </a:prstGeom>
                    <a:noFill/>
                    <a:ln>
                      <a:noFill/>
                    </a:ln>
                  </pic:spPr>
                </pic:pic>
              </a:graphicData>
            </a:graphic>
          </wp:inline>
        </w:drawing>
      </w:r>
    </w:p>
    <w:p w:rsidR="000A6B3A" w:rsidRDefault="000A6B3A" w:rsidP="000A6B3A">
      <w:pPr>
        <w:pStyle w:val="NormalWeb"/>
        <w:spacing w:before="0" w:beforeAutospacing="0" w:after="225" w:afterAutospacing="0" w:line="300" w:lineRule="atLeast"/>
        <w:ind w:left="150" w:right="150"/>
        <w:textAlignment w:val="baseline"/>
        <w:rPr>
          <w:rFonts w:ascii="inherit" w:hAnsi="inherit"/>
          <w:color w:val="000000"/>
        </w:rPr>
      </w:pPr>
      <w:proofErr w:type="spellStart"/>
      <w:r>
        <w:rPr>
          <w:rFonts w:ascii="inherit" w:hAnsi="inherit"/>
          <w:color w:val="000000"/>
        </w:rPr>
        <w:t>TCELL’in</w:t>
      </w:r>
      <w:proofErr w:type="spellEnd"/>
      <w:r>
        <w:rPr>
          <w:rFonts w:ascii="inherit" w:hAnsi="inherit"/>
          <w:color w:val="000000"/>
        </w:rPr>
        <w:t xml:space="preserve"> ikinci çeyrek fiyat ve getirileri XU100 ve XILTM sektörü ile ilişkisi incelenmiş olup; bir yıllık X100 ila betası 1,02 olup hareketin yönü pozitif ve X100’ün çok az üzerinde bir fiyat olarak gerçekleşmiştir. Ayrıca ilgili dönemin son 100 gününde ise ilişkinin yönü yine pozitif ve çok daha düşük (0,87) gerçekleşmiştir. Yine ilgili dönemde </w:t>
      </w:r>
      <w:proofErr w:type="spellStart"/>
      <w:r>
        <w:rPr>
          <w:rFonts w:ascii="inherit" w:hAnsi="inherit"/>
          <w:color w:val="000000"/>
        </w:rPr>
        <w:t>TCELL’in</w:t>
      </w:r>
      <w:proofErr w:type="spellEnd"/>
      <w:r>
        <w:rPr>
          <w:rFonts w:ascii="inherit" w:hAnsi="inherit"/>
          <w:color w:val="000000"/>
        </w:rPr>
        <w:t xml:space="preserve"> X100 ila </w:t>
      </w:r>
      <w:proofErr w:type="gramStart"/>
      <w:r>
        <w:rPr>
          <w:rFonts w:ascii="inherit" w:hAnsi="inherit"/>
          <w:color w:val="000000"/>
        </w:rPr>
        <w:t>korelasyonu</w:t>
      </w:r>
      <w:proofErr w:type="gramEnd"/>
      <w:r>
        <w:rPr>
          <w:rFonts w:ascii="inherit" w:hAnsi="inherit"/>
          <w:color w:val="000000"/>
        </w:rPr>
        <w:t xml:space="preserve"> %69 gibi orta şiddette bir oranda gerçekleşmektedir.</w:t>
      </w:r>
    </w:p>
    <w:p w:rsidR="000A6B3A" w:rsidRDefault="000A6B3A" w:rsidP="000A6B3A">
      <w:pPr>
        <w:pStyle w:val="NormalWeb"/>
        <w:spacing w:before="0" w:beforeAutospacing="0" w:after="225" w:afterAutospacing="0" w:line="300" w:lineRule="atLeast"/>
        <w:ind w:left="150" w:right="150"/>
        <w:textAlignment w:val="baseline"/>
        <w:rPr>
          <w:rFonts w:ascii="inherit" w:hAnsi="inherit"/>
          <w:color w:val="000000"/>
        </w:rPr>
      </w:pPr>
      <w:r>
        <w:rPr>
          <w:rFonts w:ascii="inherit" w:hAnsi="inherit"/>
          <w:color w:val="000000"/>
        </w:rPr>
        <w:lastRenderedPageBreak/>
        <w:t xml:space="preserve">İletişim sektörü içerisinde ilişki yönü pozitif olup fakat artış sektörden çok az aşağıda gerçekleşmektedir. Yine ilgili dönemin son 100 gününde ilişki yönü pozitif olmasına rağmen yine aynı oranda kaldığı görülmektedir. İletişim sektörünün son dönemde X100’le neredeyse aynı yönde hareket ettiği görülmektedir. </w:t>
      </w:r>
      <w:proofErr w:type="spellStart"/>
      <w:r>
        <w:rPr>
          <w:rFonts w:ascii="inherit" w:hAnsi="inherit"/>
          <w:color w:val="000000"/>
        </w:rPr>
        <w:t>TCELL’in</w:t>
      </w:r>
      <w:proofErr w:type="spellEnd"/>
      <w:r>
        <w:rPr>
          <w:rFonts w:ascii="inherit" w:hAnsi="inherit"/>
          <w:color w:val="000000"/>
        </w:rPr>
        <w:t xml:space="preserve"> sektörle </w:t>
      </w:r>
      <w:proofErr w:type="gramStart"/>
      <w:r>
        <w:rPr>
          <w:rFonts w:ascii="inherit" w:hAnsi="inherit"/>
          <w:color w:val="000000"/>
        </w:rPr>
        <w:t>korelasyonun</w:t>
      </w:r>
      <w:proofErr w:type="gramEnd"/>
      <w:r>
        <w:rPr>
          <w:rFonts w:ascii="inherit" w:hAnsi="inherit"/>
          <w:color w:val="000000"/>
        </w:rPr>
        <w:t xml:space="preserve"> çok yüksek olduğu görülmektedir.</w:t>
      </w:r>
    </w:p>
    <w:p w:rsidR="000A6B3A" w:rsidRDefault="000A6B3A" w:rsidP="000A6B3A">
      <w:pPr>
        <w:pStyle w:val="NormalWeb"/>
        <w:spacing w:before="0" w:beforeAutospacing="0" w:after="225" w:afterAutospacing="0" w:line="300" w:lineRule="atLeast"/>
        <w:ind w:left="150" w:right="150"/>
        <w:textAlignment w:val="baseline"/>
        <w:rPr>
          <w:rFonts w:ascii="inherit" w:hAnsi="inherit"/>
          <w:color w:val="000000"/>
        </w:rPr>
      </w:pPr>
      <w:r>
        <w:rPr>
          <w:rFonts w:ascii="inherit" w:hAnsi="inherit"/>
          <w:noProof/>
          <w:color w:val="000000"/>
        </w:rPr>
        <w:drawing>
          <wp:inline distT="0" distB="0" distL="0" distR="0">
            <wp:extent cx="12668250" cy="3057525"/>
            <wp:effectExtent l="0" t="0" r="0" b="9525"/>
            <wp:docPr id="10" name="Resim 10" descr="https://www.gcmyatirim.com.tr/wp-content/uploads/2025/08/14/tcell-5_1755178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cmyatirim.com.tr/wp-content/uploads/2025/08/14/tcell-5_175517816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250" cy="3057525"/>
                    </a:xfrm>
                    <a:prstGeom prst="rect">
                      <a:avLst/>
                    </a:prstGeom>
                    <a:noFill/>
                    <a:ln>
                      <a:noFill/>
                    </a:ln>
                  </pic:spPr>
                </pic:pic>
              </a:graphicData>
            </a:graphic>
          </wp:inline>
        </w:drawing>
      </w:r>
    </w:p>
    <w:p w:rsidR="000A6B3A" w:rsidRDefault="000A6B3A" w:rsidP="000A6B3A">
      <w:pPr>
        <w:pStyle w:val="NormalWeb"/>
        <w:spacing w:before="0" w:beforeAutospacing="0" w:after="225" w:afterAutospacing="0" w:line="300" w:lineRule="atLeast"/>
        <w:ind w:left="150" w:right="150"/>
        <w:textAlignment w:val="baseline"/>
        <w:rPr>
          <w:rFonts w:ascii="inherit" w:hAnsi="inherit"/>
          <w:color w:val="000000"/>
        </w:rPr>
      </w:pPr>
      <w:proofErr w:type="spellStart"/>
      <w:r>
        <w:rPr>
          <w:rFonts w:ascii="inherit" w:hAnsi="inherit"/>
          <w:color w:val="000000"/>
        </w:rPr>
        <w:t>TCELL’in</w:t>
      </w:r>
      <w:proofErr w:type="spellEnd"/>
      <w:r>
        <w:rPr>
          <w:rFonts w:ascii="inherit" w:hAnsi="inherit"/>
          <w:color w:val="000000"/>
        </w:rPr>
        <w:t xml:space="preserve"> satışlarının gelişimi incelediğinde 2022 ve 2024 yıllarında satışlarda artışın çok yüksek olduğu dikkati çekmektedir. 2025 yılı ilk iki çeyrek bir önceki yılın ilk çeyreğine artış gösterdiği görülmektedir. 2009 yılından beri tüm çeyrek ortalamasının %12 olduğu görülmekte olup 2025/2 çeyrek büyümesi bir önceki döneme göre yaklaşık olarak %17 büyümüş olup genel ortalamanın üzerindendir. Satışların incelenmesinde dikkat çeken diğer bir durumda 3. Çeyreklerin bir önceki döneme göre daha düşük gerçekleşmesidir. Önümüzdeki dönem </w:t>
      </w:r>
      <w:proofErr w:type="spellStart"/>
      <w:r>
        <w:rPr>
          <w:rFonts w:ascii="inherit" w:hAnsi="inherit"/>
          <w:color w:val="000000"/>
        </w:rPr>
        <w:t>TCELL’in</w:t>
      </w:r>
      <w:proofErr w:type="spellEnd"/>
      <w:r>
        <w:rPr>
          <w:rFonts w:ascii="inherit" w:hAnsi="inherit"/>
          <w:color w:val="000000"/>
        </w:rPr>
        <w:t xml:space="preserve"> satış tahmini yaklaşık olarak 23,6 Milyar TL ve son çeyrekte ise yaklaşık 84,9 Milyar TL olarak gerçekleşmesini tahmin ediyoruz. Bu durumda yıllık yaklaşık %15 büyüme ile 210 Milyar TL üstü bir satış gerçekleşmesi tahmin edilmektedir. Bu durum İNA tahminlerimizde dikkate alınmıştır.</w:t>
      </w:r>
    </w:p>
    <w:p w:rsidR="000A6B3A" w:rsidRDefault="000A6B3A" w:rsidP="000A6B3A">
      <w:pPr>
        <w:pStyle w:val="NormalWeb"/>
        <w:spacing w:before="0" w:beforeAutospacing="0" w:after="0" w:afterAutospacing="0" w:line="300" w:lineRule="atLeast"/>
        <w:ind w:left="150" w:right="150"/>
        <w:textAlignment w:val="baseline"/>
        <w:rPr>
          <w:rFonts w:ascii="inherit" w:hAnsi="inherit"/>
          <w:color w:val="000000"/>
        </w:rPr>
      </w:pPr>
      <w:r>
        <w:rPr>
          <w:rFonts w:ascii="inherit" w:hAnsi="inherit"/>
          <w:b/>
          <w:bCs/>
          <w:noProof/>
          <w:color w:val="000000"/>
          <w:bdr w:val="none" w:sz="0" w:space="0" w:color="auto" w:frame="1"/>
        </w:rPr>
        <w:lastRenderedPageBreak/>
        <w:drawing>
          <wp:inline distT="0" distB="0" distL="0" distR="0">
            <wp:extent cx="12601575" cy="3629025"/>
            <wp:effectExtent l="0" t="0" r="9525" b="9525"/>
            <wp:docPr id="9" name="Resim 9" descr="https://www.gcmyatirim.com.tr/wp-content/uploads/2025/08/14/tcell-6_1755178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cmyatirim.com.tr/wp-content/uploads/2025/08/14/tcell-6_175517817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01575" cy="3629025"/>
                    </a:xfrm>
                    <a:prstGeom prst="rect">
                      <a:avLst/>
                    </a:prstGeom>
                    <a:noFill/>
                    <a:ln>
                      <a:noFill/>
                    </a:ln>
                  </pic:spPr>
                </pic:pic>
              </a:graphicData>
            </a:graphic>
          </wp:inline>
        </w:drawing>
      </w:r>
    </w:p>
    <w:p w:rsidR="000A6B3A" w:rsidRDefault="000A6B3A" w:rsidP="000A6B3A">
      <w:pPr>
        <w:pStyle w:val="NormalWeb"/>
        <w:spacing w:before="0" w:beforeAutospacing="0" w:after="225" w:afterAutospacing="0" w:line="300" w:lineRule="atLeast"/>
        <w:ind w:left="150" w:right="150"/>
        <w:textAlignment w:val="baseline"/>
        <w:rPr>
          <w:rFonts w:ascii="inherit" w:hAnsi="inherit"/>
          <w:color w:val="000000"/>
        </w:rPr>
      </w:pPr>
      <w:proofErr w:type="spellStart"/>
      <w:r>
        <w:rPr>
          <w:rFonts w:ascii="inherit" w:hAnsi="inherit"/>
          <w:color w:val="000000"/>
        </w:rPr>
        <w:t>TCELL’in</w:t>
      </w:r>
      <w:proofErr w:type="spellEnd"/>
      <w:r>
        <w:rPr>
          <w:rFonts w:ascii="inherit" w:hAnsi="inherit"/>
          <w:color w:val="000000"/>
        </w:rPr>
        <w:t xml:space="preserve"> Satılan Hizmet Maliyetleri incelendiğinde 2025/2 çeyrekte bir önceki döneme göre %12 artarken aynı dönemin bir önceki yıla göre artış ise %8 ile sınırlı kaldığı görülmektedir. Ayrıca 2009’dan itibaren tüm çeyreklerde SMM/SATIŞLAR oranı incelediğinde ortalamasının %68’lerde oluştuğu görülürken 2025/2 çeyrekte %73 olarak gerçekleştiği görülmektedir. Son 4 dönem ortalaması yaklaşık olarak %73 olarak gözlenmektedir. İNA tahminimizde biraz da ihtiyatlı olarak geçen yıl ortalaması olan %76 kullanılmıştır.  </w:t>
      </w:r>
    </w:p>
    <w:p w:rsidR="000A6B3A" w:rsidRDefault="000A6B3A" w:rsidP="000A6B3A">
      <w:pPr>
        <w:pStyle w:val="NormalWeb"/>
        <w:spacing w:before="0" w:beforeAutospacing="0" w:after="0" w:afterAutospacing="0" w:line="300" w:lineRule="atLeast"/>
        <w:ind w:left="150" w:right="150"/>
        <w:textAlignment w:val="baseline"/>
        <w:rPr>
          <w:rFonts w:ascii="inherit" w:hAnsi="inherit"/>
          <w:color w:val="000000"/>
        </w:rPr>
      </w:pPr>
      <w:r>
        <w:rPr>
          <w:rFonts w:ascii="inherit" w:hAnsi="inherit"/>
          <w:b/>
          <w:bCs/>
          <w:noProof/>
          <w:color w:val="000000"/>
          <w:bdr w:val="none" w:sz="0" w:space="0" w:color="auto" w:frame="1"/>
        </w:rPr>
        <w:drawing>
          <wp:inline distT="0" distB="0" distL="0" distR="0">
            <wp:extent cx="12573000" cy="3448050"/>
            <wp:effectExtent l="0" t="0" r="0" b="0"/>
            <wp:docPr id="8" name="Resim 8" descr="https://www.gcmyatirim.com.tr/wp-content/uploads/2025/08/14/tcell-7_1755178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cmyatirim.com.tr/wp-content/uploads/2025/08/14/tcell-7_175517819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0" cy="3448050"/>
                    </a:xfrm>
                    <a:prstGeom prst="rect">
                      <a:avLst/>
                    </a:prstGeom>
                    <a:noFill/>
                    <a:ln>
                      <a:noFill/>
                    </a:ln>
                  </pic:spPr>
                </pic:pic>
              </a:graphicData>
            </a:graphic>
          </wp:inline>
        </w:drawing>
      </w:r>
    </w:p>
    <w:p w:rsidR="000A6B3A" w:rsidRDefault="000A6B3A" w:rsidP="000A6B3A">
      <w:pPr>
        <w:pStyle w:val="NormalWeb"/>
        <w:spacing w:before="0" w:beforeAutospacing="0" w:after="225" w:afterAutospacing="0" w:line="300" w:lineRule="atLeast"/>
        <w:ind w:left="150" w:right="150"/>
        <w:textAlignment w:val="baseline"/>
        <w:rPr>
          <w:rFonts w:ascii="inherit" w:hAnsi="inherit"/>
          <w:color w:val="000000"/>
        </w:rPr>
      </w:pPr>
      <w:proofErr w:type="spellStart"/>
      <w:r>
        <w:rPr>
          <w:rFonts w:ascii="inherit" w:hAnsi="inherit"/>
          <w:color w:val="000000"/>
        </w:rPr>
        <w:lastRenderedPageBreak/>
        <w:t>TCELL’in</w:t>
      </w:r>
      <w:proofErr w:type="spellEnd"/>
      <w:r>
        <w:rPr>
          <w:rFonts w:ascii="inherit" w:hAnsi="inherit"/>
          <w:color w:val="000000"/>
        </w:rPr>
        <w:t xml:space="preserve"> Faaliyet Giderlerinin gelişimi incelendiğinde; sektörün doğası gereği pazarlama satış dağıtım giderlerinin daha yoğun olarak oluştuğu görülmektedir. Diğer taraftan giderlerin bir önceki döneme göre sadece %2 arttığı ve 2024/2 çeyreğe göre de %14 arttığı görülmektedir. Yine 2009’dan beri tüm çeyrekliklerin Faaliyet Giderlerinin/Satışlara oranı hesaplandığında %6’lık bir sapmada %15’lerde gerçekleştiği görülmektedir. Son çeyrekte bu bir önceki çeyrekte olduğu gibi %11’lerde gerçekleşmiş olup firma için olumlu bir gelişmedir.  İNA analimizde bu yıl ortalamasının %11’lerde gerçekleşeceği öngörülmüştür.</w:t>
      </w:r>
    </w:p>
    <w:p w:rsidR="000A6B3A" w:rsidRDefault="000A6B3A" w:rsidP="000A6B3A">
      <w:pPr>
        <w:pStyle w:val="NormalWeb"/>
        <w:spacing w:before="0" w:beforeAutospacing="0" w:after="225" w:afterAutospacing="0" w:line="300" w:lineRule="atLeast"/>
        <w:ind w:left="150" w:right="150"/>
        <w:textAlignment w:val="baseline"/>
        <w:rPr>
          <w:rFonts w:ascii="inherit" w:hAnsi="inherit"/>
          <w:color w:val="000000"/>
        </w:rPr>
      </w:pPr>
      <w:r>
        <w:rPr>
          <w:rFonts w:ascii="inherit" w:hAnsi="inherit"/>
          <w:noProof/>
          <w:color w:val="000000"/>
        </w:rPr>
        <w:drawing>
          <wp:inline distT="0" distB="0" distL="0" distR="0">
            <wp:extent cx="12582525" cy="3590925"/>
            <wp:effectExtent l="0" t="0" r="9525" b="9525"/>
            <wp:docPr id="7" name="Resim 7" descr="https://www.gcmyatirim.com.tr/wp-content/uploads/2025/08/14/tcell-8_1755178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cmyatirim.com.tr/wp-content/uploads/2025/08/14/tcell-8_17551782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82525" cy="3590925"/>
                    </a:xfrm>
                    <a:prstGeom prst="rect">
                      <a:avLst/>
                    </a:prstGeom>
                    <a:noFill/>
                    <a:ln>
                      <a:noFill/>
                    </a:ln>
                  </pic:spPr>
                </pic:pic>
              </a:graphicData>
            </a:graphic>
          </wp:inline>
        </w:drawing>
      </w:r>
    </w:p>
    <w:p w:rsidR="000A6B3A" w:rsidRDefault="000A6B3A" w:rsidP="000A6B3A">
      <w:pPr>
        <w:pStyle w:val="NormalWeb"/>
        <w:spacing w:before="0" w:beforeAutospacing="0" w:after="225" w:afterAutospacing="0" w:line="300" w:lineRule="atLeast"/>
        <w:ind w:left="150" w:right="150"/>
        <w:textAlignment w:val="baseline"/>
        <w:rPr>
          <w:rFonts w:ascii="inherit" w:hAnsi="inherit"/>
          <w:color w:val="000000"/>
        </w:rPr>
      </w:pPr>
      <w:proofErr w:type="spellStart"/>
      <w:r>
        <w:rPr>
          <w:rFonts w:ascii="inherit" w:hAnsi="inherit"/>
          <w:color w:val="000000"/>
        </w:rPr>
        <w:t>TCELL’in</w:t>
      </w:r>
      <w:proofErr w:type="spellEnd"/>
      <w:r>
        <w:rPr>
          <w:rFonts w:ascii="inherit" w:hAnsi="inherit"/>
          <w:color w:val="000000"/>
        </w:rPr>
        <w:t xml:space="preserve"> karlılığı incelendiğinde son 7 çeyrektir ana kalemlerde kar ettiği görülmektedir. 2023’ün ilk 3 çeyreğinde net karda zarar eden firma 2022’inin son çeyreğinde ise faaliyet karında zarar açıklamış olup diğer dönemleri karla tamamlamıştır. Son çeyrekte ana kalemler itibariyle karlılıklar genel olarak çeyrekliklerin ortalamasına çok yakın seyretmektedir. Bir önceki döneme göre brüt satış karı çok az düşerken FAVÖK </w:t>
      </w:r>
      <w:proofErr w:type="gramStart"/>
      <w:r>
        <w:rPr>
          <w:rFonts w:ascii="inherit" w:hAnsi="inherit"/>
          <w:color w:val="000000"/>
        </w:rPr>
        <w:t>marjının</w:t>
      </w:r>
      <w:proofErr w:type="gramEnd"/>
      <w:r>
        <w:rPr>
          <w:rFonts w:ascii="inherit" w:hAnsi="inherit"/>
          <w:color w:val="000000"/>
        </w:rPr>
        <w:t xml:space="preserve"> artması olumludur. Bir önceki yılın aynı dönemine göre ise de Brüt Satış Karı ve Faaliyet Kar Marjları artış göstermiştir. </w:t>
      </w:r>
      <w:proofErr w:type="gramStart"/>
      <w:r>
        <w:rPr>
          <w:rFonts w:ascii="inherit" w:hAnsi="inherit"/>
          <w:color w:val="000000"/>
        </w:rPr>
        <w:t>Yıl sonunu</w:t>
      </w:r>
      <w:proofErr w:type="gramEnd"/>
      <w:r>
        <w:rPr>
          <w:rFonts w:ascii="inherit" w:hAnsi="inherit"/>
          <w:color w:val="000000"/>
        </w:rPr>
        <w:t xml:space="preserve"> da karla kapatması beklenmektedir.</w:t>
      </w:r>
    </w:p>
    <w:p w:rsidR="000A6B3A" w:rsidRDefault="000A6B3A" w:rsidP="000A6B3A">
      <w:pPr>
        <w:pStyle w:val="NormalWeb"/>
        <w:spacing w:before="0" w:beforeAutospacing="0" w:after="0" w:afterAutospacing="0" w:line="300" w:lineRule="atLeast"/>
        <w:ind w:left="150" w:right="150"/>
        <w:textAlignment w:val="baseline"/>
        <w:rPr>
          <w:rFonts w:ascii="inherit" w:hAnsi="inherit"/>
          <w:color w:val="000000"/>
        </w:rPr>
      </w:pPr>
      <w:r>
        <w:rPr>
          <w:rFonts w:ascii="inherit" w:hAnsi="inherit"/>
          <w:b/>
          <w:bCs/>
          <w:noProof/>
          <w:color w:val="000000"/>
          <w:bdr w:val="none" w:sz="0" w:space="0" w:color="auto" w:frame="1"/>
        </w:rPr>
        <w:lastRenderedPageBreak/>
        <w:drawing>
          <wp:inline distT="0" distB="0" distL="0" distR="0">
            <wp:extent cx="12620625" cy="3695700"/>
            <wp:effectExtent l="0" t="0" r="9525" b="0"/>
            <wp:docPr id="6" name="Resim 6" descr="https://www.gcmyatirim.com.tr/wp-content/uploads/2025/08/14/tcell-9_1755178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gcmyatirim.com.tr/wp-content/uploads/2025/08/14/tcell-9_175517822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20625" cy="3695700"/>
                    </a:xfrm>
                    <a:prstGeom prst="rect">
                      <a:avLst/>
                    </a:prstGeom>
                    <a:noFill/>
                    <a:ln>
                      <a:noFill/>
                    </a:ln>
                  </pic:spPr>
                </pic:pic>
              </a:graphicData>
            </a:graphic>
          </wp:inline>
        </w:drawing>
      </w:r>
    </w:p>
    <w:p w:rsidR="000A6B3A" w:rsidRDefault="000A6B3A" w:rsidP="000A6B3A">
      <w:pPr>
        <w:pStyle w:val="NormalWeb"/>
        <w:spacing w:before="0" w:beforeAutospacing="0" w:after="225" w:afterAutospacing="0" w:line="300" w:lineRule="atLeast"/>
        <w:ind w:left="150" w:right="150"/>
        <w:textAlignment w:val="baseline"/>
        <w:rPr>
          <w:rFonts w:ascii="inherit" w:hAnsi="inherit"/>
          <w:color w:val="000000"/>
        </w:rPr>
      </w:pPr>
      <w:proofErr w:type="spellStart"/>
      <w:r>
        <w:rPr>
          <w:rFonts w:ascii="inherit" w:hAnsi="inherit"/>
          <w:color w:val="000000"/>
        </w:rPr>
        <w:t>Dupont</w:t>
      </w:r>
      <w:proofErr w:type="spellEnd"/>
      <w:r>
        <w:rPr>
          <w:rFonts w:ascii="inherit" w:hAnsi="inherit"/>
          <w:color w:val="000000"/>
        </w:rPr>
        <w:t xml:space="preserve"> analizi firmanın </w:t>
      </w:r>
      <w:proofErr w:type="spellStart"/>
      <w:r>
        <w:rPr>
          <w:rFonts w:ascii="inherit" w:hAnsi="inherit"/>
          <w:color w:val="000000"/>
        </w:rPr>
        <w:t>özkaynak</w:t>
      </w:r>
      <w:proofErr w:type="spellEnd"/>
      <w:r>
        <w:rPr>
          <w:rFonts w:ascii="inherit" w:hAnsi="inherit"/>
          <w:color w:val="000000"/>
        </w:rPr>
        <w:t xml:space="preserve"> karlılığının öncülüğünde kar </w:t>
      </w:r>
      <w:proofErr w:type="gramStart"/>
      <w:r>
        <w:rPr>
          <w:rFonts w:ascii="inherit" w:hAnsi="inherit"/>
          <w:color w:val="000000"/>
        </w:rPr>
        <w:t>marjı</w:t>
      </w:r>
      <w:proofErr w:type="gramEnd"/>
      <w:r>
        <w:rPr>
          <w:rFonts w:ascii="inherit" w:hAnsi="inherit"/>
          <w:color w:val="000000"/>
        </w:rPr>
        <w:t xml:space="preserve"> ve aktif kullanımının ve finansal kaldıraç etkisinin </w:t>
      </w:r>
      <w:proofErr w:type="spellStart"/>
      <w:r>
        <w:rPr>
          <w:rFonts w:ascii="inherit" w:hAnsi="inherit"/>
          <w:color w:val="000000"/>
        </w:rPr>
        <w:t>özsermaye</w:t>
      </w:r>
      <w:proofErr w:type="spellEnd"/>
      <w:r>
        <w:rPr>
          <w:rFonts w:ascii="inherit" w:hAnsi="inherit"/>
          <w:color w:val="000000"/>
        </w:rPr>
        <w:t xml:space="preserve"> çarpanı üzerinden analizini içerir. </w:t>
      </w:r>
      <w:proofErr w:type="spellStart"/>
      <w:r>
        <w:rPr>
          <w:rFonts w:ascii="inherit" w:hAnsi="inherit"/>
          <w:color w:val="000000"/>
        </w:rPr>
        <w:t>TCELL’in</w:t>
      </w:r>
      <w:proofErr w:type="spellEnd"/>
      <w:r>
        <w:rPr>
          <w:rFonts w:ascii="inherit" w:hAnsi="inherit"/>
          <w:color w:val="000000"/>
        </w:rPr>
        <w:t xml:space="preserve"> yıllık </w:t>
      </w:r>
      <w:proofErr w:type="spellStart"/>
      <w:r>
        <w:rPr>
          <w:rFonts w:ascii="inherit" w:hAnsi="inherit"/>
          <w:color w:val="000000"/>
        </w:rPr>
        <w:t>Dupont</w:t>
      </w:r>
      <w:proofErr w:type="spellEnd"/>
      <w:r>
        <w:rPr>
          <w:rFonts w:ascii="inherit" w:hAnsi="inherit"/>
          <w:color w:val="000000"/>
        </w:rPr>
        <w:t xml:space="preserve"> analizinden </w:t>
      </w:r>
      <w:proofErr w:type="spellStart"/>
      <w:r>
        <w:rPr>
          <w:rFonts w:ascii="inherit" w:hAnsi="inherit"/>
          <w:color w:val="000000"/>
        </w:rPr>
        <w:t>özkaynak</w:t>
      </w:r>
      <w:proofErr w:type="spellEnd"/>
      <w:r>
        <w:rPr>
          <w:rFonts w:ascii="inherit" w:hAnsi="inherit"/>
          <w:color w:val="000000"/>
        </w:rPr>
        <w:t xml:space="preserve"> karlığının en önemli bileşenin net kar </w:t>
      </w:r>
      <w:proofErr w:type="gramStart"/>
      <w:r>
        <w:rPr>
          <w:rFonts w:ascii="inherit" w:hAnsi="inherit"/>
          <w:color w:val="000000"/>
        </w:rPr>
        <w:t>marjı</w:t>
      </w:r>
      <w:proofErr w:type="gramEnd"/>
      <w:r>
        <w:rPr>
          <w:rFonts w:ascii="inherit" w:hAnsi="inherit"/>
          <w:color w:val="000000"/>
        </w:rPr>
        <w:t xml:space="preserve"> ve </w:t>
      </w:r>
      <w:proofErr w:type="spellStart"/>
      <w:r>
        <w:rPr>
          <w:rFonts w:ascii="inherit" w:hAnsi="inherit"/>
          <w:color w:val="000000"/>
        </w:rPr>
        <w:t>özsermaye</w:t>
      </w:r>
      <w:proofErr w:type="spellEnd"/>
      <w:r>
        <w:rPr>
          <w:rFonts w:ascii="inherit" w:hAnsi="inherit"/>
          <w:color w:val="000000"/>
        </w:rPr>
        <w:t xml:space="preserve"> çarpanının etkili olduğu görülmektedir. Ayrıca çeyreklik dönemlerde de </w:t>
      </w:r>
      <w:proofErr w:type="spellStart"/>
      <w:r>
        <w:rPr>
          <w:rFonts w:ascii="inherit" w:hAnsi="inherit"/>
          <w:color w:val="000000"/>
        </w:rPr>
        <w:t>özsermaye</w:t>
      </w:r>
      <w:proofErr w:type="spellEnd"/>
      <w:r>
        <w:rPr>
          <w:rFonts w:ascii="inherit" w:hAnsi="inherit"/>
          <w:color w:val="000000"/>
        </w:rPr>
        <w:t xml:space="preserve"> getirisini (ROE) </w:t>
      </w:r>
      <w:proofErr w:type="spellStart"/>
      <w:r>
        <w:rPr>
          <w:rFonts w:ascii="inherit" w:hAnsi="inherit"/>
          <w:color w:val="000000"/>
        </w:rPr>
        <w:t>nin</w:t>
      </w:r>
      <w:proofErr w:type="spellEnd"/>
      <w:r>
        <w:rPr>
          <w:rFonts w:ascii="inherit" w:hAnsi="inherit"/>
          <w:color w:val="000000"/>
        </w:rPr>
        <w:t xml:space="preserve"> açıklayıcılarının net kar </w:t>
      </w:r>
      <w:proofErr w:type="gramStart"/>
      <w:r>
        <w:rPr>
          <w:rFonts w:ascii="inherit" w:hAnsi="inherit"/>
          <w:color w:val="000000"/>
        </w:rPr>
        <w:t>marjı</w:t>
      </w:r>
      <w:proofErr w:type="gramEnd"/>
      <w:r>
        <w:rPr>
          <w:rFonts w:ascii="inherit" w:hAnsi="inherit"/>
          <w:color w:val="000000"/>
        </w:rPr>
        <w:t xml:space="preserve"> ile  </w:t>
      </w:r>
      <w:proofErr w:type="spellStart"/>
      <w:r>
        <w:rPr>
          <w:rFonts w:ascii="inherit" w:hAnsi="inherit"/>
          <w:color w:val="000000"/>
        </w:rPr>
        <w:t>Özsermaye</w:t>
      </w:r>
      <w:proofErr w:type="spellEnd"/>
      <w:r>
        <w:rPr>
          <w:rFonts w:ascii="inherit" w:hAnsi="inherit"/>
          <w:color w:val="000000"/>
        </w:rPr>
        <w:t xml:space="preserve"> Çarpanı olduğu görülmektedir.</w:t>
      </w:r>
    </w:p>
    <w:p w:rsidR="000A6B3A" w:rsidRDefault="000A6B3A" w:rsidP="000A6B3A">
      <w:pPr>
        <w:pStyle w:val="NormalWeb"/>
        <w:spacing w:before="0" w:beforeAutospacing="0" w:after="0" w:afterAutospacing="0" w:line="300" w:lineRule="atLeast"/>
        <w:ind w:left="150" w:right="150"/>
        <w:textAlignment w:val="baseline"/>
        <w:rPr>
          <w:rFonts w:ascii="inherit" w:hAnsi="inherit"/>
          <w:color w:val="000000"/>
        </w:rPr>
      </w:pPr>
      <w:r>
        <w:rPr>
          <w:rStyle w:val="Gl"/>
          <w:rFonts w:ascii="inherit" w:hAnsi="inherit"/>
          <w:color w:val="000000"/>
          <w:bdr w:val="none" w:sz="0" w:space="0" w:color="auto" w:frame="1"/>
        </w:rPr>
        <w:t xml:space="preserve">Model </w:t>
      </w:r>
      <w:proofErr w:type="gramStart"/>
      <w:r>
        <w:rPr>
          <w:rStyle w:val="Gl"/>
          <w:rFonts w:ascii="inherit" w:hAnsi="inherit"/>
          <w:color w:val="000000"/>
          <w:bdr w:val="none" w:sz="0" w:space="0" w:color="auto" w:frame="1"/>
        </w:rPr>
        <w:t>portföyümüzde</w:t>
      </w:r>
      <w:proofErr w:type="gramEnd"/>
      <w:r>
        <w:rPr>
          <w:rStyle w:val="Gl"/>
          <w:rFonts w:ascii="inherit" w:hAnsi="inherit"/>
          <w:color w:val="000000"/>
          <w:bdr w:val="none" w:sz="0" w:space="0" w:color="auto" w:frame="1"/>
        </w:rPr>
        <w:t xml:space="preserve"> yer olan </w:t>
      </w:r>
      <w:proofErr w:type="spellStart"/>
      <w:r>
        <w:rPr>
          <w:rStyle w:val="Gl"/>
          <w:rFonts w:ascii="inherit" w:hAnsi="inherit"/>
          <w:color w:val="000000"/>
          <w:bdr w:val="none" w:sz="0" w:space="0" w:color="auto" w:frame="1"/>
        </w:rPr>
        <w:t>TCELL’in</w:t>
      </w:r>
      <w:proofErr w:type="spellEnd"/>
      <w:r>
        <w:rPr>
          <w:rStyle w:val="Gl"/>
          <w:rFonts w:ascii="inherit" w:hAnsi="inherit"/>
          <w:color w:val="000000"/>
          <w:bdr w:val="none" w:sz="0" w:space="0" w:color="auto" w:frame="1"/>
        </w:rPr>
        <w:t xml:space="preserve"> İNA analizine göre olması gereken değeri yaklaşık %66  getiri potansiyeli ile 162,47 TL olarak bulunmuştur. Model </w:t>
      </w:r>
      <w:proofErr w:type="gramStart"/>
      <w:r>
        <w:rPr>
          <w:rStyle w:val="Gl"/>
          <w:rFonts w:ascii="inherit" w:hAnsi="inherit"/>
          <w:color w:val="000000"/>
          <w:bdr w:val="none" w:sz="0" w:space="0" w:color="auto" w:frame="1"/>
        </w:rPr>
        <w:t>portföyümüzde</w:t>
      </w:r>
      <w:proofErr w:type="gramEnd"/>
      <w:r>
        <w:rPr>
          <w:rStyle w:val="Gl"/>
          <w:rFonts w:ascii="inherit" w:hAnsi="inherit"/>
          <w:color w:val="000000"/>
          <w:bdr w:val="none" w:sz="0" w:space="0" w:color="auto" w:frame="1"/>
        </w:rPr>
        <w:t xml:space="preserve"> bulundurmaya devam edeceğiz.</w:t>
      </w:r>
    </w:p>
    <w:p w:rsidR="000A6B3A" w:rsidRDefault="000A6B3A" w:rsidP="000A6B3A">
      <w:pPr>
        <w:pStyle w:val="NormalWeb"/>
        <w:spacing w:before="0" w:beforeAutospacing="0" w:after="0" w:afterAutospacing="0" w:line="300" w:lineRule="atLeast"/>
        <w:ind w:left="150" w:right="150"/>
        <w:textAlignment w:val="baseline"/>
        <w:rPr>
          <w:rFonts w:ascii="inherit" w:hAnsi="inherit"/>
          <w:color w:val="000000"/>
        </w:rPr>
      </w:pPr>
      <w:r>
        <w:rPr>
          <w:rFonts w:ascii="inherit" w:hAnsi="inherit"/>
          <w:b/>
          <w:bCs/>
          <w:noProof/>
          <w:color w:val="000000"/>
          <w:bdr w:val="none" w:sz="0" w:space="0" w:color="auto" w:frame="1"/>
        </w:rPr>
        <w:lastRenderedPageBreak/>
        <w:drawing>
          <wp:inline distT="0" distB="0" distL="0" distR="0">
            <wp:extent cx="18983325" cy="6115050"/>
            <wp:effectExtent l="0" t="0" r="9525" b="0"/>
            <wp:docPr id="5" name="Resim 5" descr="https://www.gcmyatirim.com.tr/wp-content/uploads/2025/08/14/tcell-10_1755178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cmyatirim.com.tr/wp-content/uploads/2025/08/14/tcell-10_17551782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83325" cy="6115050"/>
                    </a:xfrm>
                    <a:prstGeom prst="rect">
                      <a:avLst/>
                    </a:prstGeom>
                    <a:noFill/>
                    <a:ln>
                      <a:noFill/>
                    </a:ln>
                  </pic:spPr>
                </pic:pic>
              </a:graphicData>
            </a:graphic>
          </wp:inline>
        </w:drawing>
      </w:r>
    </w:p>
    <w:p w:rsidR="000A6B3A" w:rsidRDefault="000A6B3A" w:rsidP="000A6B3A">
      <w:pPr>
        <w:pStyle w:val="NormalWeb"/>
        <w:spacing w:before="0" w:beforeAutospacing="0" w:after="0" w:afterAutospacing="0" w:line="300" w:lineRule="atLeast"/>
        <w:ind w:left="150" w:right="150"/>
        <w:textAlignment w:val="baseline"/>
        <w:rPr>
          <w:rFonts w:ascii="inherit" w:hAnsi="inherit"/>
          <w:color w:val="000000"/>
        </w:rPr>
      </w:pPr>
      <w:r>
        <w:rPr>
          <w:rFonts w:ascii="inherit" w:hAnsi="inherit"/>
          <w:b/>
          <w:bCs/>
          <w:noProof/>
          <w:color w:val="000000"/>
          <w:bdr w:val="none" w:sz="0" w:space="0" w:color="auto" w:frame="1"/>
        </w:rPr>
        <w:drawing>
          <wp:inline distT="0" distB="0" distL="0" distR="0">
            <wp:extent cx="4076700" cy="2400300"/>
            <wp:effectExtent l="0" t="0" r="0" b="0"/>
            <wp:docPr id="4" name="Resim 4" descr="https://www.gcmyatirim.com.tr/wp-content/uploads/2025/08/14/tcell-11_1755178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cmyatirim.com.tr/wp-content/uploads/2025/08/14/tcell-11_175517826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6700" cy="2400300"/>
                    </a:xfrm>
                    <a:prstGeom prst="rect">
                      <a:avLst/>
                    </a:prstGeom>
                    <a:noFill/>
                    <a:ln>
                      <a:noFill/>
                    </a:ln>
                  </pic:spPr>
                </pic:pic>
              </a:graphicData>
            </a:graphic>
          </wp:inline>
        </w:drawing>
      </w:r>
    </w:p>
    <w:sectPr w:rsidR="000A6B3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C458D0"/>
    <w:multiLevelType w:val="multilevel"/>
    <w:tmpl w:val="D15EB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FC8"/>
    <w:rsid w:val="000A6B3A"/>
    <w:rsid w:val="00376999"/>
    <w:rsid w:val="00577FC8"/>
    <w:rsid w:val="006B1E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577F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577FC8"/>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577FC8"/>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77FC8"/>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577FC8"/>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577FC8"/>
    <w:rPr>
      <w:rFonts w:ascii="Times New Roman" w:eastAsia="Times New Roman" w:hAnsi="Times New Roman" w:cs="Times New Roman"/>
      <w:b/>
      <w:bCs/>
      <w:sz w:val="27"/>
      <w:szCs w:val="27"/>
      <w:lang w:eastAsia="tr-TR"/>
    </w:rPr>
  </w:style>
  <w:style w:type="character" w:styleId="Kpr">
    <w:name w:val="Hyperlink"/>
    <w:basedOn w:val="VarsaylanParagrafYazTipi"/>
    <w:uiPriority w:val="99"/>
    <w:semiHidden/>
    <w:unhideWhenUsed/>
    <w:rsid w:val="00577FC8"/>
    <w:rPr>
      <w:color w:val="0000FF"/>
      <w:u w:val="single"/>
    </w:rPr>
  </w:style>
  <w:style w:type="character" w:styleId="Gl">
    <w:name w:val="Strong"/>
    <w:basedOn w:val="VarsaylanParagrafYazTipi"/>
    <w:uiPriority w:val="22"/>
    <w:qFormat/>
    <w:rsid w:val="00577FC8"/>
    <w:rPr>
      <w:b/>
      <w:bCs/>
    </w:rPr>
  </w:style>
  <w:style w:type="paragraph" w:styleId="NormalWeb">
    <w:name w:val="Normal (Web)"/>
    <w:basedOn w:val="Normal"/>
    <w:uiPriority w:val="99"/>
    <w:semiHidden/>
    <w:unhideWhenUsed/>
    <w:rsid w:val="00577FC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577FC8"/>
    <w:rPr>
      <w:i/>
      <w:iCs/>
    </w:rPr>
  </w:style>
  <w:style w:type="paragraph" w:customStyle="1" w:styleId="instrumentnamecontent">
    <w:name w:val="instrumentnamecontent"/>
    <w:basedOn w:val="Normal"/>
    <w:rsid w:val="000A6B3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instrumentsaleprice">
    <w:name w:val="instrumentsaleprice"/>
    <w:basedOn w:val="VarsaylanParagrafYazTipi"/>
    <w:rsid w:val="000A6B3A"/>
  </w:style>
  <w:style w:type="character" w:customStyle="1" w:styleId="dailychangepercentage">
    <w:name w:val="dailychangepercentage"/>
    <w:basedOn w:val="VarsaylanParagrafYazTipi"/>
    <w:rsid w:val="000A6B3A"/>
  </w:style>
  <w:style w:type="character" w:customStyle="1" w:styleId="marketactiontitle">
    <w:name w:val="marketactiontitle"/>
    <w:basedOn w:val="VarsaylanParagrafYazTipi"/>
    <w:rsid w:val="000A6B3A"/>
  </w:style>
  <w:style w:type="character" w:customStyle="1" w:styleId="marketactionprice">
    <w:name w:val="marketactionprice"/>
    <w:basedOn w:val="VarsaylanParagrafYazTipi"/>
    <w:rsid w:val="000A6B3A"/>
  </w:style>
  <w:style w:type="paragraph" w:styleId="BalonMetni">
    <w:name w:val="Balloon Text"/>
    <w:basedOn w:val="Normal"/>
    <w:link w:val="BalonMetniChar"/>
    <w:uiPriority w:val="99"/>
    <w:semiHidden/>
    <w:unhideWhenUsed/>
    <w:rsid w:val="006B1E4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1E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577F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577FC8"/>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577FC8"/>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77FC8"/>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577FC8"/>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577FC8"/>
    <w:rPr>
      <w:rFonts w:ascii="Times New Roman" w:eastAsia="Times New Roman" w:hAnsi="Times New Roman" w:cs="Times New Roman"/>
      <w:b/>
      <w:bCs/>
      <w:sz w:val="27"/>
      <w:szCs w:val="27"/>
      <w:lang w:eastAsia="tr-TR"/>
    </w:rPr>
  </w:style>
  <w:style w:type="character" w:styleId="Kpr">
    <w:name w:val="Hyperlink"/>
    <w:basedOn w:val="VarsaylanParagrafYazTipi"/>
    <w:uiPriority w:val="99"/>
    <w:semiHidden/>
    <w:unhideWhenUsed/>
    <w:rsid w:val="00577FC8"/>
    <w:rPr>
      <w:color w:val="0000FF"/>
      <w:u w:val="single"/>
    </w:rPr>
  </w:style>
  <w:style w:type="character" w:styleId="Gl">
    <w:name w:val="Strong"/>
    <w:basedOn w:val="VarsaylanParagrafYazTipi"/>
    <w:uiPriority w:val="22"/>
    <w:qFormat/>
    <w:rsid w:val="00577FC8"/>
    <w:rPr>
      <w:b/>
      <w:bCs/>
    </w:rPr>
  </w:style>
  <w:style w:type="paragraph" w:styleId="NormalWeb">
    <w:name w:val="Normal (Web)"/>
    <w:basedOn w:val="Normal"/>
    <w:uiPriority w:val="99"/>
    <w:semiHidden/>
    <w:unhideWhenUsed/>
    <w:rsid w:val="00577FC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577FC8"/>
    <w:rPr>
      <w:i/>
      <w:iCs/>
    </w:rPr>
  </w:style>
  <w:style w:type="paragraph" w:customStyle="1" w:styleId="instrumentnamecontent">
    <w:name w:val="instrumentnamecontent"/>
    <w:basedOn w:val="Normal"/>
    <w:rsid w:val="000A6B3A"/>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instrumentsaleprice">
    <w:name w:val="instrumentsaleprice"/>
    <w:basedOn w:val="VarsaylanParagrafYazTipi"/>
    <w:rsid w:val="000A6B3A"/>
  </w:style>
  <w:style w:type="character" w:customStyle="1" w:styleId="dailychangepercentage">
    <w:name w:val="dailychangepercentage"/>
    <w:basedOn w:val="VarsaylanParagrafYazTipi"/>
    <w:rsid w:val="000A6B3A"/>
  </w:style>
  <w:style w:type="character" w:customStyle="1" w:styleId="marketactiontitle">
    <w:name w:val="marketactiontitle"/>
    <w:basedOn w:val="VarsaylanParagrafYazTipi"/>
    <w:rsid w:val="000A6B3A"/>
  </w:style>
  <w:style w:type="character" w:customStyle="1" w:styleId="marketactionprice">
    <w:name w:val="marketactionprice"/>
    <w:basedOn w:val="VarsaylanParagrafYazTipi"/>
    <w:rsid w:val="000A6B3A"/>
  </w:style>
  <w:style w:type="paragraph" w:styleId="BalonMetni">
    <w:name w:val="Balloon Text"/>
    <w:basedOn w:val="Normal"/>
    <w:link w:val="BalonMetniChar"/>
    <w:uiPriority w:val="99"/>
    <w:semiHidden/>
    <w:unhideWhenUsed/>
    <w:rsid w:val="006B1E4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1E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472061">
      <w:bodyDiv w:val="1"/>
      <w:marLeft w:val="0"/>
      <w:marRight w:val="0"/>
      <w:marTop w:val="0"/>
      <w:marBottom w:val="0"/>
      <w:divBdr>
        <w:top w:val="none" w:sz="0" w:space="0" w:color="auto"/>
        <w:left w:val="none" w:sz="0" w:space="0" w:color="auto"/>
        <w:bottom w:val="none" w:sz="0" w:space="0" w:color="auto"/>
        <w:right w:val="none" w:sz="0" w:space="0" w:color="auto"/>
      </w:divBdr>
      <w:divsChild>
        <w:div w:id="1861385433">
          <w:marLeft w:val="0"/>
          <w:marRight w:val="0"/>
          <w:marTop w:val="0"/>
          <w:marBottom w:val="300"/>
          <w:divBdr>
            <w:top w:val="single" w:sz="6" w:space="19" w:color="E4E9F2"/>
            <w:left w:val="none" w:sz="0" w:space="26" w:color="auto"/>
            <w:bottom w:val="single" w:sz="6" w:space="19" w:color="E4E9F2"/>
            <w:right w:val="none" w:sz="0" w:space="26" w:color="auto"/>
          </w:divBdr>
          <w:divsChild>
            <w:div w:id="552548225">
              <w:marLeft w:val="0"/>
              <w:marRight w:val="0"/>
              <w:marTop w:val="0"/>
              <w:marBottom w:val="0"/>
              <w:divBdr>
                <w:top w:val="none" w:sz="0" w:space="0" w:color="auto"/>
                <w:left w:val="none" w:sz="0" w:space="0" w:color="auto"/>
                <w:bottom w:val="none" w:sz="0" w:space="0" w:color="auto"/>
                <w:right w:val="none" w:sz="0" w:space="0" w:color="auto"/>
              </w:divBdr>
              <w:divsChild>
                <w:div w:id="1641615429">
                  <w:marLeft w:val="0"/>
                  <w:marRight w:val="0"/>
                  <w:marTop w:val="0"/>
                  <w:marBottom w:val="0"/>
                  <w:divBdr>
                    <w:top w:val="none" w:sz="0" w:space="0" w:color="auto"/>
                    <w:left w:val="none" w:sz="0" w:space="0" w:color="auto"/>
                    <w:bottom w:val="none" w:sz="0" w:space="0" w:color="auto"/>
                    <w:right w:val="none" w:sz="0" w:space="0" w:color="auto"/>
                  </w:divBdr>
                  <w:divsChild>
                    <w:div w:id="590771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46874919">
          <w:marLeft w:val="0"/>
          <w:marRight w:val="0"/>
          <w:marTop w:val="0"/>
          <w:marBottom w:val="0"/>
          <w:divBdr>
            <w:top w:val="none" w:sz="0" w:space="0" w:color="auto"/>
            <w:left w:val="none" w:sz="0" w:space="0" w:color="auto"/>
            <w:bottom w:val="none" w:sz="0" w:space="0" w:color="auto"/>
            <w:right w:val="none" w:sz="0" w:space="0" w:color="auto"/>
          </w:divBdr>
          <w:divsChild>
            <w:div w:id="605189560">
              <w:marLeft w:val="0"/>
              <w:marRight w:val="0"/>
              <w:marTop w:val="0"/>
              <w:marBottom w:val="0"/>
              <w:divBdr>
                <w:top w:val="none" w:sz="0" w:space="0" w:color="auto"/>
                <w:left w:val="none" w:sz="0" w:space="0" w:color="auto"/>
                <w:bottom w:val="none" w:sz="0" w:space="0" w:color="auto"/>
                <w:right w:val="none" w:sz="0" w:space="0" w:color="auto"/>
              </w:divBdr>
              <w:divsChild>
                <w:div w:id="7730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18502">
      <w:bodyDiv w:val="1"/>
      <w:marLeft w:val="0"/>
      <w:marRight w:val="0"/>
      <w:marTop w:val="0"/>
      <w:marBottom w:val="0"/>
      <w:divBdr>
        <w:top w:val="none" w:sz="0" w:space="0" w:color="auto"/>
        <w:left w:val="none" w:sz="0" w:space="0" w:color="auto"/>
        <w:bottom w:val="none" w:sz="0" w:space="0" w:color="auto"/>
        <w:right w:val="none" w:sz="0" w:space="0" w:color="auto"/>
      </w:divBdr>
      <w:divsChild>
        <w:div w:id="684792563">
          <w:marLeft w:val="0"/>
          <w:marRight w:val="0"/>
          <w:marTop w:val="0"/>
          <w:marBottom w:val="300"/>
          <w:divBdr>
            <w:top w:val="single" w:sz="6" w:space="19" w:color="E4E9F2"/>
            <w:left w:val="none" w:sz="0" w:space="26" w:color="auto"/>
            <w:bottom w:val="single" w:sz="6" w:space="19" w:color="E4E9F2"/>
            <w:right w:val="none" w:sz="0" w:space="26" w:color="auto"/>
          </w:divBdr>
          <w:divsChild>
            <w:div w:id="1355499629">
              <w:marLeft w:val="0"/>
              <w:marRight w:val="0"/>
              <w:marTop w:val="0"/>
              <w:marBottom w:val="0"/>
              <w:divBdr>
                <w:top w:val="none" w:sz="0" w:space="0" w:color="auto"/>
                <w:left w:val="none" w:sz="0" w:space="0" w:color="auto"/>
                <w:bottom w:val="none" w:sz="0" w:space="0" w:color="auto"/>
                <w:right w:val="none" w:sz="0" w:space="0" w:color="auto"/>
              </w:divBdr>
              <w:divsChild>
                <w:div w:id="1851872437">
                  <w:marLeft w:val="0"/>
                  <w:marRight w:val="0"/>
                  <w:marTop w:val="0"/>
                  <w:marBottom w:val="0"/>
                  <w:divBdr>
                    <w:top w:val="none" w:sz="0" w:space="0" w:color="auto"/>
                    <w:left w:val="none" w:sz="0" w:space="0" w:color="auto"/>
                    <w:bottom w:val="none" w:sz="0" w:space="0" w:color="auto"/>
                    <w:right w:val="none" w:sz="0" w:space="0" w:color="auto"/>
                  </w:divBdr>
                  <w:divsChild>
                    <w:div w:id="17555843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68820823">
          <w:marLeft w:val="0"/>
          <w:marRight w:val="0"/>
          <w:marTop w:val="0"/>
          <w:marBottom w:val="0"/>
          <w:divBdr>
            <w:top w:val="none" w:sz="0" w:space="0" w:color="auto"/>
            <w:left w:val="none" w:sz="0" w:space="0" w:color="auto"/>
            <w:bottom w:val="none" w:sz="0" w:space="0" w:color="auto"/>
            <w:right w:val="none" w:sz="0" w:space="0" w:color="auto"/>
          </w:divBdr>
          <w:divsChild>
            <w:div w:id="733091105">
              <w:marLeft w:val="0"/>
              <w:marRight w:val="0"/>
              <w:marTop w:val="0"/>
              <w:marBottom w:val="0"/>
              <w:divBdr>
                <w:top w:val="none" w:sz="0" w:space="0" w:color="auto"/>
                <w:left w:val="none" w:sz="0" w:space="0" w:color="auto"/>
                <w:bottom w:val="none" w:sz="0" w:space="0" w:color="auto"/>
                <w:right w:val="none" w:sz="0" w:space="0" w:color="auto"/>
              </w:divBdr>
              <w:divsChild>
                <w:div w:id="200824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537262">
          <w:marLeft w:val="0"/>
          <w:marRight w:val="0"/>
          <w:marTop w:val="0"/>
          <w:marBottom w:val="0"/>
          <w:divBdr>
            <w:top w:val="none" w:sz="0" w:space="0" w:color="auto"/>
            <w:left w:val="none" w:sz="0" w:space="0" w:color="auto"/>
            <w:bottom w:val="none" w:sz="0" w:space="0" w:color="auto"/>
            <w:right w:val="none" w:sz="0" w:space="0" w:color="auto"/>
          </w:divBdr>
          <w:divsChild>
            <w:div w:id="1153178484">
              <w:marLeft w:val="0"/>
              <w:marRight w:val="0"/>
              <w:marTop w:val="0"/>
              <w:marBottom w:val="0"/>
              <w:divBdr>
                <w:top w:val="none" w:sz="0" w:space="0" w:color="auto"/>
                <w:left w:val="none" w:sz="0" w:space="0" w:color="auto"/>
                <w:bottom w:val="none" w:sz="0" w:space="0" w:color="auto"/>
                <w:right w:val="none" w:sz="0" w:space="0" w:color="auto"/>
              </w:divBdr>
              <w:divsChild>
                <w:div w:id="212890064">
                  <w:marLeft w:val="0"/>
                  <w:marRight w:val="0"/>
                  <w:marTop w:val="0"/>
                  <w:marBottom w:val="0"/>
                  <w:divBdr>
                    <w:top w:val="single" w:sz="6" w:space="15" w:color="E4E9F2"/>
                    <w:left w:val="none" w:sz="0" w:space="15" w:color="auto"/>
                    <w:bottom w:val="none" w:sz="0" w:space="15" w:color="auto"/>
                    <w:right w:val="none" w:sz="0" w:space="15" w:color="auto"/>
                  </w:divBdr>
                </w:div>
                <w:div w:id="1506096270">
                  <w:marLeft w:val="0"/>
                  <w:marRight w:val="0"/>
                  <w:marTop w:val="0"/>
                  <w:marBottom w:val="0"/>
                  <w:divBdr>
                    <w:top w:val="single" w:sz="6" w:space="0" w:color="E4E9F2"/>
                    <w:left w:val="none" w:sz="0" w:space="0" w:color="auto"/>
                    <w:bottom w:val="none" w:sz="0" w:space="0" w:color="auto"/>
                    <w:right w:val="none" w:sz="0" w:space="0" w:color="auto"/>
                  </w:divBdr>
                  <w:divsChild>
                    <w:div w:id="1148471387">
                      <w:marLeft w:val="0"/>
                      <w:marRight w:val="0"/>
                      <w:marTop w:val="450"/>
                      <w:marBottom w:val="450"/>
                      <w:divBdr>
                        <w:top w:val="none" w:sz="0" w:space="0" w:color="auto"/>
                        <w:left w:val="none" w:sz="0" w:space="0" w:color="auto"/>
                        <w:bottom w:val="none" w:sz="0" w:space="0" w:color="auto"/>
                        <w:right w:val="none" w:sz="0" w:space="0" w:color="auto"/>
                      </w:divBdr>
                      <w:divsChild>
                        <w:div w:id="8701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1003</Words>
  <Characters>5722</Characters>
  <Application>Microsoft Office Word</Application>
  <DocSecurity>0</DocSecurity>
  <Lines>47</Lines>
  <Paragraphs>13</Paragraphs>
  <ScaleCrop>false</ScaleCrop>
  <Company/>
  <LinksUpToDate>false</LinksUpToDate>
  <CharactersWithSpaces>6712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ÖMER FARUK ÖZTÜRK</cp:lastModifiedBy>
  <cp:revision>4</cp:revision>
  <dcterms:created xsi:type="dcterms:W3CDTF">2025-08-13T08:45:00Z</dcterms:created>
  <dcterms:modified xsi:type="dcterms:W3CDTF">2025-08-14T14:00:00Z</dcterms:modified>
</cp:coreProperties>
</file>