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A6" w:rsidRP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“Yolcu gelirleri artarken Kargo Gelirleri yavaşlayan küresel ticaret ve deniz taşımacılığından gelen artan rekabet sonucu  azaldı.”</w:t>
      </w:r>
    </w:p>
    <w:p w:rsidR="007B30A6" w:rsidRP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30A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Yolcu Gelirleri güçlü hacim artışıyla %6 oranında arttı</w:t>
      </w:r>
      <w:proofErr w:type="gramStart"/>
      <w:r w:rsidRPr="007B30A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..</w:t>
      </w:r>
      <w:proofErr w:type="gramEnd"/>
      <w:r w:rsidRPr="007B30A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Kargo Gelirleri yavaşlayan küresel ticaret ve deniz taşımacılığından gelen artan rekabet sonucu %7 azaldı. Zayıflayan ABD Doları’nın muhasebe etkisi ve vergi gideri net kar üzerinde olumsuz etki yarattı.</w:t>
      </w:r>
    </w:p>
    <w:p w:rsidR="007B30A6" w:rsidRP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>Ülkemizin bayrak taşıyıcı havayolu olan THYAO göreceli değerleme yaklaşımlarına ve indirgenmiş nakit akım analizi yöntemine göre halen yatırım yapılabilir seviyesindedir. </w:t>
      </w:r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THYAO </w:t>
      </w:r>
      <w:proofErr w:type="spellStart"/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nın</w:t>
      </w:r>
      <w:proofErr w:type="spellEnd"/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İNA ya göre olması gereken değeri tarafımızdan yaklaşık %76’lük getiri potansiyeli ile birlikte 513 TL olarak hesaplanmıştır. Model </w:t>
      </w:r>
      <w:proofErr w:type="gramStart"/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portföyümüzde</w:t>
      </w:r>
      <w:proofErr w:type="gramEnd"/>
      <w:r w:rsidRPr="007B30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THYAO için hedef fiyatımızı 512 TL’de koruyoruz ve portföyümüzde tutmaya devam ediyoruz.</w:t>
      </w:r>
    </w:p>
    <w:p w:rsid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 Hava Yolları (THYAO) </w:t>
      </w:r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>son çeyrek 2025/3 verileri incelendiğinde sektör F/K oranın 8,46 olmasına karşılık 3,81 bir F/</w:t>
      </w:r>
      <w:proofErr w:type="spellStart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>K’ya</w:t>
      </w:r>
      <w:proofErr w:type="spellEnd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sektör PD/DD oranın 0,87 olmasına karşılık 0,48’lik bir PD/DD sahip olduğu gözlenmekte olup ucuz kaldığının bir göstergesidir. Ayrıca </w:t>
      </w:r>
      <w:proofErr w:type="spellStart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>Aswath</w:t>
      </w:r>
      <w:proofErr w:type="spellEnd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>Damodaran</w:t>
      </w:r>
      <w:proofErr w:type="spellEnd"/>
      <w:r w:rsidRPr="007B30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Avrupa bölgesindeki havayolu şirketlerinin ortalama fiyat kazanç oranının 17,27 ve beklenen F/K oranın ise 10,37 olarak tahmin edilmesi ile yine PD/DD oranı Avrupa şirketleri ortalaması 1,81 olup THYAO alım bölgesindedir.</w:t>
      </w:r>
    </w:p>
    <w:p w:rsid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3811489"/>
            <wp:effectExtent l="0" t="0" r="0" b="0"/>
            <wp:docPr id="2" name="Resim 2" descr="https://www.gcmyatirim.com.tr/wp-content/uploads/2025/11/07/thyao-resim-1_1762519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myatirim.com.tr/wp-content/uploads/2025/11/07/thyao-resim-1_17625193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A6" w:rsidRPr="007B30A6" w:rsidRDefault="007B30A6" w:rsidP="007B3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t>THYAO’nun</w:t>
      </w:r>
      <w:proofErr w:type="spellEnd"/>
      <w:r>
        <w:t xml:space="preserve"> 2025/3 çeyrek mali tabloları incelediğinde gelir tablosu tarafına bakıldığında bir önceki yılın aynı döneme (2024/3) göre Net Satışlarda değişim yaklaşık %27’ler de iken bir önceki döneme göre (2025/2) yaklaşık %22 artış göstermiş olup satışların maliyeti se </w:t>
      </w:r>
      <w:proofErr w:type="spellStart"/>
      <w:r>
        <w:t>yıllıklandırılmış</w:t>
      </w:r>
      <w:proofErr w:type="spellEnd"/>
      <w:r>
        <w:t xml:space="preserve"> </w:t>
      </w:r>
      <w:proofErr w:type="gramStart"/>
      <w:r>
        <w:t>bazda</w:t>
      </w:r>
      <w:proofErr w:type="gramEnd"/>
      <w:r>
        <w:t xml:space="preserve"> %37 artarken dönemsel bazda ise %18 artmıştır. Burada dikkat çeken dağılım ise akaryakıt giderlerinde azalış görülürken yine dikey analizde </w:t>
      </w:r>
      <w:proofErr w:type="gramStart"/>
      <w:r>
        <w:t>hakim</w:t>
      </w:r>
      <w:proofErr w:type="gramEnd"/>
      <w:r>
        <w:t xml:space="preserve"> gider olarak yer almaktadır. Ayrıca personel giderlerinde ise </w:t>
      </w:r>
      <w:proofErr w:type="spellStart"/>
      <w:r>
        <w:t>yıllıklandırılmış</w:t>
      </w:r>
      <w:proofErr w:type="spellEnd"/>
      <w:r>
        <w:t xml:space="preserve"> </w:t>
      </w:r>
      <w:proofErr w:type="gramStart"/>
      <w:r>
        <w:t>bazda</w:t>
      </w:r>
      <w:proofErr w:type="gramEnd"/>
      <w:r>
        <w:t xml:space="preserve"> %22’lerde artarken dönemsel bazda ise %25 artmış ve yine dikey analizde giderlerin %25’ini oluşturmaya devam etmektedir. FAVÖK </w:t>
      </w:r>
      <w:proofErr w:type="gramStart"/>
      <w:r>
        <w:t>marjı</w:t>
      </w:r>
      <w:proofErr w:type="gramEnd"/>
      <w:r>
        <w:t xml:space="preserve"> dönemsel bazda toparlanıp %22’lere </w:t>
      </w:r>
      <w:r>
        <w:lastRenderedPageBreak/>
        <w:t xml:space="preserve">çıkarken </w:t>
      </w:r>
      <w:proofErr w:type="spellStart"/>
      <w:r>
        <w:t>yıllıklandırılmış</w:t>
      </w:r>
      <w:proofErr w:type="spellEnd"/>
      <w:r>
        <w:t xml:space="preserve"> bazda yaklaşık %4,5 azalma göstermiştir. Yine Net Kar dönemsel </w:t>
      </w:r>
      <w:proofErr w:type="gramStart"/>
      <w:r>
        <w:t>bazda</w:t>
      </w:r>
      <w:proofErr w:type="gramEnd"/>
      <w:r>
        <w:t xml:space="preserve"> dikkat çekici olarak %109’larda artış gösterirken </w:t>
      </w:r>
      <w:proofErr w:type="spellStart"/>
      <w:r>
        <w:t>yıllıklandırılmış</w:t>
      </w:r>
      <w:proofErr w:type="spellEnd"/>
      <w:r>
        <w:t xml:space="preserve"> bazda ise %9 artmış… Bilanço incelediğinde ise dikkat çeken unsur nakit ve finansal yatırımlar artmaya devam ediyor…</w:t>
      </w:r>
    </w:p>
    <w:bookmarkEnd w:id="0"/>
    <w:p w:rsidR="00A970DD" w:rsidRPr="007B30A6" w:rsidRDefault="00A970DD" w:rsidP="007B30A6"/>
    <w:sectPr w:rsidR="00A970DD" w:rsidRPr="007B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0"/>
    <w:rsid w:val="00026E20"/>
    <w:rsid w:val="00477527"/>
    <w:rsid w:val="007B30A6"/>
    <w:rsid w:val="00A9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2025-11-03T14:23:00Z</dcterms:created>
  <dcterms:modified xsi:type="dcterms:W3CDTF">2025-11-07T18:55:00Z</dcterms:modified>
</cp:coreProperties>
</file>