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AEF" w:rsidRPr="006C6AEF" w:rsidRDefault="006C6AEF" w:rsidP="006C6AEF">
      <w:pPr>
        <w:spacing w:after="75" w:line="360" w:lineRule="atLeast"/>
        <w:textAlignment w:val="baseline"/>
        <w:outlineLvl w:val="0"/>
        <w:rPr>
          <w:rFonts w:ascii="inherit" w:eastAsia="Times New Roman" w:hAnsi="inherit" w:cs="Times New Roman"/>
          <w:b/>
          <w:bCs/>
          <w:color w:val="1D567D"/>
          <w:kern w:val="36"/>
          <w:sz w:val="33"/>
          <w:szCs w:val="33"/>
          <w:lang w:eastAsia="tr-TR"/>
        </w:rPr>
      </w:pPr>
      <w:bookmarkStart w:id="0" w:name="_GoBack"/>
      <w:bookmarkEnd w:id="0"/>
      <w:r w:rsidRPr="006C6AEF">
        <w:rPr>
          <w:rFonts w:ascii="inherit" w:eastAsia="Times New Roman" w:hAnsi="inherit" w:cs="Times New Roman"/>
          <w:b/>
          <w:bCs/>
          <w:color w:val="1D567D"/>
          <w:kern w:val="36"/>
          <w:sz w:val="33"/>
          <w:szCs w:val="33"/>
          <w:lang w:eastAsia="tr-TR"/>
        </w:rPr>
        <w:t>Havacılık Sektörüne Bakış; THYAO / PGSUS</w:t>
      </w:r>
    </w:p>
    <w:p w:rsidR="006C6AEF" w:rsidRPr="006C6AEF" w:rsidRDefault="006C6AEF" w:rsidP="006C6AEF">
      <w:pPr>
        <w:spacing w:line="330" w:lineRule="atLeast"/>
        <w:textAlignment w:val="baseline"/>
        <w:rPr>
          <w:rFonts w:ascii="inherit" w:eastAsia="Times New Roman" w:hAnsi="inherit" w:cs="Times New Roman"/>
          <w:color w:val="5F676F"/>
          <w:sz w:val="24"/>
          <w:szCs w:val="24"/>
          <w:lang w:eastAsia="tr-TR"/>
        </w:rPr>
      </w:pPr>
      <w:r w:rsidRPr="006C6AEF">
        <w:rPr>
          <w:rFonts w:ascii="inherit" w:eastAsia="Times New Roman" w:hAnsi="inherit" w:cs="Times New Roman"/>
          <w:color w:val="5F676F"/>
          <w:sz w:val="24"/>
          <w:szCs w:val="24"/>
          <w:bdr w:val="none" w:sz="0" w:space="0" w:color="auto" w:frame="1"/>
          <w:lang w:eastAsia="tr-TR"/>
        </w:rPr>
        <w:t>22 Kasım 2024</w:t>
      </w:r>
      <w:hyperlink r:id="rId5" w:tgtFrame="_blank" w:tooltip="GCM Araştırma &amp; Analiz" w:history="1">
        <w:r w:rsidRPr="006C6AEF">
          <w:rPr>
            <w:rFonts w:ascii="inherit" w:eastAsia="Times New Roman" w:hAnsi="inherit" w:cs="Times New Roman"/>
            <w:color w:val="0000FF"/>
            <w:sz w:val="24"/>
            <w:szCs w:val="24"/>
            <w:u w:val="single"/>
            <w:bdr w:val="none" w:sz="0" w:space="0" w:color="auto" w:frame="1"/>
            <w:lang w:eastAsia="tr-TR"/>
          </w:rPr>
          <w:t>GCM Araştırma &amp; Analiz</w:t>
        </w:r>
      </w:hyperlink>
      <w:r w:rsidRPr="006C6AEF">
        <w:rPr>
          <w:rFonts w:ascii="inherit" w:eastAsia="Times New Roman" w:hAnsi="inherit" w:cs="Times New Roman"/>
          <w:color w:val="5F676F"/>
          <w:sz w:val="24"/>
          <w:szCs w:val="24"/>
          <w:bdr w:val="none" w:sz="0" w:space="0" w:color="auto" w:frame="1"/>
          <w:lang w:eastAsia="tr-TR"/>
        </w:rPr>
        <w:t>- Araştırma &amp; AnalizBorsa</w:t>
      </w:r>
    </w:p>
    <w:p w:rsidR="006C6AEF" w:rsidRPr="006C6AEF" w:rsidRDefault="006C6AEF" w:rsidP="006C6AEF">
      <w:pPr>
        <w:spacing w:after="225" w:line="300" w:lineRule="atLeast"/>
        <w:ind w:left="150" w:right="150"/>
        <w:textAlignment w:val="baseline"/>
        <w:rPr>
          <w:rFonts w:ascii="inherit" w:eastAsia="Times New Roman" w:hAnsi="inherit" w:cs="Times New Roman"/>
          <w:color w:val="000000"/>
          <w:sz w:val="24"/>
          <w:szCs w:val="24"/>
          <w:lang w:eastAsia="tr-TR"/>
        </w:rPr>
      </w:pPr>
      <w:r w:rsidRPr="006C6AEF">
        <w:rPr>
          <w:rFonts w:ascii="inherit" w:eastAsia="Times New Roman" w:hAnsi="inherit" w:cs="Times New Roman"/>
          <w:color w:val="000000"/>
          <w:sz w:val="24"/>
          <w:szCs w:val="24"/>
          <w:lang w:eastAsia="tr-TR"/>
        </w:rPr>
        <w:t>2024 yılı üçüncü çeyrek finansallarını geride bırakmışken Havacılık Sektörüne kısaca bir göz atalım. Havacılık sektörü 2024 yılı 3. çeyreğinde güçlü sezonluk talep sayesinde yolcu sayılarında artış kaydetmiştir. Özellikle artan turizm faaliyetleri, dış hat uçuşlarının cazibesini artırmış, iç hatlarda ise ekonomik belirsizlikler ve fiyat baskıları talebi sınırlandırmıştır.</w:t>
      </w:r>
    </w:p>
    <w:p w:rsidR="006C6AEF" w:rsidRPr="006C6AEF" w:rsidRDefault="006C6AEF" w:rsidP="006C6AEF">
      <w:pPr>
        <w:spacing w:after="225" w:line="300" w:lineRule="atLeast"/>
        <w:ind w:left="150" w:right="150"/>
        <w:textAlignment w:val="baseline"/>
        <w:rPr>
          <w:rFonts w:ascii="inherit" w:eastAsia="Times New Roman" w:hAnsi="inherit" w:cs="Times New Roman"/>
          <w:color w:val="000000"/>
          <w:sz w:val="24"/>
          <w:szCs w:val="24"/>
          <w:lang w:eastAsia="tr-TR"/>
        </w:rPr>
      </w:pPr>
      <w:r w:rsidRPr="006C6AEF">
        <w:rPr>
          <w:rFonts w:ascii="inherit" w:eastAsia="Times New Roman" w:hAnsi="inherit" w:cs="Times New Roman"/>
          <w:color w:val="000000"/>
          <w:sz w:val="24"/>
          <w:szCs w:val="24"/>
          <w:lang w:eastAsia="tr-TR"/>
        </w:rPr>
        <w:t>Yurt içi tarafta DHMİ (Devlet Hava Meydanları İşletmesi Genel Müdürlüğü) verilerini dikkat aldığımızda Ocak – Ekim 2024 döneminde geçtiğimiz yılın aynı dönemine göre %5,2 artışla 198.333.102 yolcuya hizmet verildiği görülmüştür.</w:t>
      </w:r>
    </w:p>
    <w:p w:rsidR="006C6AEF" w:rsidRPr="006C6AEF" w:rsidRDefault="006C6AEF" w:rsidP="006C6AEF">
      <w:pPr>
        <w:spacing w:after="225" w:line="300" w:lineRule="atLeast"/>
        <w:ind w:left="150" w:right="150"/>
        <w:textAlignment w:val="baseline"/>
        <w:rPr>
          <w:rFonts w:ascii="inherit" w:eastAsia="Times New Roman" w:hAnsi="inherit" w:cs="Times New Roman"/>
          <w:color w:val="000000"/>
          <w:sz w:val="24"/>
          <w:szCs w:val="24"/>
          <w:lang w:eastAsia="tr-TR"/>
        </w:rPr>
      </w:pPr>
      <w:r w:rsidRPr="006C6AEF">
        <w:rPr>
          <w:rFonts w:ascii="inherit" w:eastAsia="Times New Roman" w:hAnsi="inherit" w:cs="Times New Roman"/>
          <w:color w:val="000000"/>
          <w:sz w:val="24"/>
          <w:szCs w:val="24"/>
          <w:lang w:eastAsia="tr-TR"/>
        </w:rPr>
        <w:t>Avrupa Havacılık Genel Bakış Raporuna Göre;</w:t>
      </w:r>
    </w:p>
    <w:p w:rsidR="006C6AEF" w:rsidRPr="006C6AEF" w:rsidRDefault="006C6AEF" w:rsidP="006C6AEF">
      <w:pPr>
        <w:spacing w:after="225" w:line="300" w:lineRule="atLeast"/>
        <w:ind w:left="150" w:right="150"/>
        <w:textAlignment w:val="baseline"/>
        <w:rPr>
          <w:rFonts w:ascii="inherit" w:eastAsia="Times New Roman" w:hAnsi="inherit" w:cs="Times New Roman"/>
          <w:color w:val="000000"/>
          <w:sz w:val="24"/>
          <w:szCs w:val="24"/>
          <w:lang w:eastAsia="tr-TR"/>
        </w:rPr>
      </w:pPr>
      <w:r w:rsidRPr="006C6AEF">
        <w:rPr>
          <w:rFonts w:ascii="inherit" w:eastAsia="Times New Roman" w:hAnsi="inherit" w:cs="Times New Roman"/>
          <w:color w:val="000000"/>
          <w:sz w:val="24"/>
          <w:szCs w:val="24"/>
          <w:lang w:eastAsia="tr-TR"/>
        </w:rPr>
        <w:t>4-10 Kasım 2024 dönemine ilişkin trafik istatistiklerinde, Türkiye havalimanlarına iniş ve kalkış trafiklerinde günlük ortalama 2.815 uçuş ile Avrupa’da en çok uçuş gerçekleştiren ilk 10 ülke arasında 6. sırada yer almaktadır.</w:t>
      </w:r>
    </w:p>
    <w:p w:rsidR="006C6AEF" w:rsidRPr="006C6AEF" w:rsidRDefault="006C6AEF" w:rsidP="006C6AEF">
      <w:pPr>
        <w:spacing w:after="0" w:line="300" w:lineRule="atLeast"/>
        <w:ind w:left="150" w:right="150"/>
        <w:textAlignment w:val="baseline"/>
        <w:rPr>
          <w:rFonts w:ascii="inherit" w:eastAsia="Times New Roman" w:hAnsi="inherit" w:cs="Times New Roman"/>
          <w:color w:val="000000"/>
          <w:sz w:val="24"/>
          <w:szCs w:val="24"/>
          <w:lang w:eastAsia="tr-TR"/>
        </w:rPr>
      </w:pPr>
      <w:r w:rsidRPr="006C6AEF">
        <w:rPr>
          <w:rFonts w:ascii="inherit" w:eastAsia="Times New Roman" w:hAnsi="inherit" w:cs="Times New Roman"/>
          <w:noProof/>
          <w:color w:val="000000"/>
          <w:sz w:val="24"/>
          <w:szCs w:val="24"/>
          <w:bdr w:val="none" w:sz="0" w:space="0" w:color="auto" w:frame="1"/>
          <w:lang w:eastAsia="tr-TR"/>
        </w:rPr>
        <w:lastRenderedPageBreak/>
        <w:drawing>
          <wp:inline distT="0" distB="0" distL="0" distR="0">
            <wp:extent cx="8496300" cy="5581650"/>
            <wp:effectExtent l="0" t="0" r="0" b="0"/>
            <wp:docPr id="4" name="Resim 4" descr="https://www.gcmyatirim.com.tr/wp-content/uploads/2024/11/22/1-resim_1732272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cmyatirim.com.tr/wp-content/uploads/2024/11/22/1-resim_173227215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96300" cy="5581650"/>
                    </a:xfrm>
                    <a:prstGeom prst="rect">
                      <a:avLst/>
                    </a:prstGeom>
                    <a:noFill/>
                    <a:ln>
                      <a:noFill/>
                    </a:ln>
                  </pic:spPr>
                </pic:pic>
              </a:graphicData>
            </a:graphic>
          </wp:inline>
        </w:drawing>
      </w:r>
    </w:p>
    <w:p w:rsidR="006C6AEF" w:rsidRPr="006C6AEF" w:rsidRDefault="006C6AEF" w:rsidP="006C6AEF">
      <w:pPr>
        <w:spacing w:after="225" w:line="300" w:lineRule="atLeast"/>
        <w:ind w:left="150" w:right="150"/>
        <w:textAlignment w:val="baseline"/>
        <w:rPr>
          <w:rFonts w:ascii="inherit" w:eastAsia="Times New Roman" w:hAnsi="inherit" w:cs="Times New Roman"/>
          <w:color w:val="000000"/>
          <w:sz w:val="24"/>
          <w:szCs w:val="24"/>
          <w:lang w:eastAsia="tr-TR"/>
        </w:rPr>
      </w:pPr>
      <w:r w:rsidRPr="006C6AEF">
        <w:rPr>
          <w:rFonts w:ascii="inherit" w:eastAsia="Times New Roman" w:hAnsi="inherit" w:cs="Times New Roman"/>
          <w:color w:val="000000"/>
          <w:sz w:val="24"/>
          <w:szCs w:val="24"/>
          <w:lang w:eastAsia="tr-TR"/>
        </w:rPr>
        <w:t>Belirtilen dönemde en fazla uçuş gerçekleştiren havayolu işletmeleri arasında Türk Hava Yolları’nın günlük ortalama 1.368 uçuş ile 2. sırada yer aldığı görülmektedir.</w:t>
      </w:r>
    </w:p>
    <w:p w:rsidR="006C6AEF" w:rsidRPr="006C6AEF" w:rsidRDefault="006C6AEF" w:rsidP="006C6AEF">
      <w:pPr>
        <w:spacing w:after="0" w:line="300" w:lineRule="atLeast"/>
        <w:ind w:left="150" w:right="150"/>
        <w:textAlignment w:val="baseline"/>
        <w:rPr>
          <w:rFonts w:ascii="inherit" w:eastAsia="Times New Roman" w:hAnsi="inherit" w:cs="Times New Roman"/>
          <w:color w:val="000000"/>
          <w:sz w:val="24"/>
          <w:szCs w:val="24"/>
          <w:lang w:eastAsia="tr-TR"/>
        </w:rPr>
      </w:pPr>
      <w:r w:rsidRPr="006C6AEF">
        <w:rPr>
          <w:rFonts w:ascii="inherit" w:eastAsia="Times New Roman" w:hAnsi="inherit" w:cs="Times New Roman"/>
          <w:noProof/>
          <w:color w:val="000000"/>
          <w:sz w:val="24"/>
          <w:szCs w:val="24"/>
          <w:bdr w:val="none" w:sz="0" w:space="0" w:color="auto" w:frame="1"/>
          <w:lang w:eastAsia="tr-TR"/>
        </w:rPr>
        <w:lastRenderedPageBreak/>
        <w:drawing>
          <wp:inline distT="0" distB="0" distL="0" distR="0">
            <wp:extent cx="8667750" cy="5086350"/>
            <wp:effectExtent l="0" t="0" r="0" b="0"/>
            <wp:docPr id="3" name="Resim 3" descr="https://www.gcmyatirim.com.tr/wp-content/uploads/2024/11/22/2-resim_17322721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cmyatirim.com.tr/wp-content/uploads/2024/11/22/2-resim_173227217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0" cy="5086350"/>
                    </a:xfrm>
                    <a:prstGeom prst="rect">
                      <a:avLst/>
                    </a:prstGeom>
                    <a:noFill/>
                    <a:ln>
                      <a:noFill/>
                    </a:ln>
                  </pic:spPr>
                </pic:pic>
              </a:graphicData>
            </a:graphic>
          </wp:inline>
        </w:drawing>
      </w:r>
    </w:p>
    <w:p w:rsidR="006C6AEF" w:rsidRPr="006C6AEF" w:rsidRDefault="006C6AEF" w:rsidP="006C6AEF">
      <w:pPr>
        <w:spacing w:after="0" w:line="360" w:lineRule="atLeast"/>
        <w:ind w:left="150" w:right="150"/>
        <w:textAlignment w:val="baseline"/>
        <w:outlineLvl w:val="1"/>
        <w:rPr>
          <w:rFonts w:ascii="inherit" w:eastAsia="Times New Roman" w:hAnsi="inherit" w:cs="Times New Roman"/>
          <w:b/>
          <w:bCs/>
          <w:color w:val="0A4975"/>
          <w:sz w:val="27"/>
          <w:szCs w:val="27"/>
          <w:lang w:eastAsia="tr-TR"/>
        </w:rPr>
      </w:pPr>
      <w:r w:rsidRPr="006C6AEF">
        <w:rPr>
          <w:rFonts w:ascii="inherit" w:eastAsia="Times New Roman" w:hAnsi="inherit" w:cs="Times New Roman"/>
          <w:b/>
          <w:bCs/>
          <w:i/>
          <w:iCs/>
          <w:color w:val="0A4975"/>
          <w:sz w:val="27"/>
          <w:szCs w:val="27"/>
          <w:bdr w:val="none" w:sz="0" w:space="0" w:color="auto" w:frame="1"/>
          <w:lang w:eastAsia="tr-TR"/>
        </w:rPr>
        <w:t>Sektörde Katalizörler ve Risk Unsurları</w:t>
      </w:r>
    </w:p>
    <w:p w:rsidR="006C6AEF" w:rsidRPr="006C6AEF" w:rsidRDefault="006C6AEF" w:rsidP="006C6AEF">
      <w:pPr>
        <w:spacing w:after="0" w:line="360" w:lineRule="atLeast"/>
        <w:ind w:left="150" w:right="150"/>
        <w:textAlignment w:val="baseline"/>
        <w:outlineLvl w:val="2"/>
        <w:rPr>
          <w:rFonts w:ascii="inherit" w:eastAsia="Times New Roman" w:hAnsi="inherit" w:cs="Times New Roman"/>
          <w:b/>
          <w:bCs/>
          <w:color w:val="0A4975"/>
          <w:sz w:val="27"/>
          <w:szCs w:val="27"/>
          <w:lang w:eastAsia="tr-TR"/>
        </w:rPr>
      </w:pPr>
      <w:r w:rsidRPr="006C6AEF">
        <w:rPr>
          <w:rFonts w:ascii="inherit" w:eastAsia="Times New Roman" w:hAnsi="inherit" w:cs="Times New Roman"/>
          <w:b/>
          <w:bCs/>
          <w:i/>
          <w:iCs/>
          <w:color w:val="0A4975"/>
          <w:sz w:val="27"/>
          <w:szCs w:val="27"/>
          <w:bdr w:val="none" w:sz="0" w:space="0" w:color="auto" w:frame="1"/>
          <w:lang w:eastAsia="tr-TR"/>
        </w:rPr>
        <w:t>Katalizörler;</w:t>
      </w:r>
    </w:p>
    <w:p w:rsidR="006C6AEF" w:rsidRPr="006C6AEF" w:rsidRDefault="006C6AEF" w:rsidP="006C6AEF">
      <w:pPr>
        <w:numPr>
          <w:ilvl w:val="0"/>
          <w:numId w:val="1"/>
        </w:numPr>
        <w:spacing w:after="0" w:line="300" w:lineRule="atLeast"/>
        <w:ind w:left="225" w:right="225"/>
        <w:textAlignment w:val="baseline"/>
        <w:rPr>
          <w:rFonts w:ascii="inherit" w:eastAsia="Times New Roman" w:hAnsi="inherit" w:cs="Times New Roman"/>
          <w:color w:val="000000"/>
          <w:sz w:val="24"/>
          <w:szCs w:val="24"/>
          <w:lang w:eastAsia="tr-TR"/>
        </w:rPr>
      </w:pPr>
      <w:r w:rsidRPr="006C6AEF">
        <w:rPr>
          <w:rFonts w:ascii="inherit" w:eastAsia="Times New Roman" w:hAnsi="inherit" w:cs="Times New Roman"/>
          <w:i/>
          <w:iCs/>
          <w:color w:val="000000"/>
          <w:sz w:val="24"/>
          <w:szCs w:val="24"/>
          <w:bdr w:val="none" w:sz="0" w:space="0" w:color="auto" w:frame="1"/>
          <w:lang w:eastAsia="tr-TR"/>
        </w:rPr>
        <w:t>Planlanan Koltuk Kapasite Artışları:</w:t>
      </w:r>
      <w:r w:rsidRPr="006C6AEF">
        <w:rPr>
          <w:rFonts w:ascii="inherit" w:eastAsia="Times New Roman" w:hAnsi="inherit" w:cs="Times New Roman"/>
          <w:color w:val="000000"/>
          <w:sz w:val="24"/>
          <w:szCs w:val="24"/>
          <w:lang w:eastAsia="tr-TR"/>
        </w:rPr>
        <w:t> Havayolu şirketlerinin filo genişletme çalışmaları ve yeni rotaların eklenmesi, yolcu taşımacılığı kapasitesinde önemli artışlara olanak tanıyacaktır.</w:t>
      </w:r>
    </w:p>
    <w:p w:rsidR="006C6AEF" w:rsidRPr="006C6AEF" w:rsidRDefault="006C6AEF" w:rsidP="006C6AEF">
      <w:pPr>
        <w:numPr>
          <w:ilvl w:val="0"/>
          <w:numId w:val="1"/>
        </w:numPr>
        <w:spacing w:after="0" w:line="300" w:lineRule="atLeast"/>
        <w:ind w:left="225" w:right="225"/>
        <w:textAlignment w:val="baseline"/>
        <w:rPr>
          <w:rFonts w:ascii="inherit" w:eastAsia="Times New Roman" w:hAnsi="inherit" w:cs="Times New Roman"/>
          <w:color w:val="000000"/>
          <w:sz w:val="24"/>
          <w:szCs w:val="24"/>
          <w:lang w:eastAsia="tr-TR"/>
        </w:rPr>
      </w:pPr>
      <w:r w:rsidRPr="006C6AEF">
        <w:rPr>
          <w:rFonts w:ascii="inherit" w:eastAsia="Times New Roman" w:hAnsi="inherit" w:cs="Times New Roman"/>
          <w:i/>
          <w:iCs/>
          <w:color w:val="000000"/>
          <w:sz w:val="24"/>
          <w:szCs w:val="24"/>
          <w:bdr w:val="none" w:sz="0" w:space="0" w:color="auto" w:frame="1"/>
          <w:lang w:eastAsia="tr-TR"/>
        </w:rPr>
        <w:t>Kargo Performansı:</w:t>
      </w:r>
      <w:r w:rsidRPr="006C6AEF">
        <w:rPr>
          <w:rFonts w:ascii="inherit" w:eastAsia="Times New Roman" w:hAnsi="inherit" w:cs="Times New Roman"/>
          <w:color w:val="000000"/>
          <w:sz w:val="24"/>
          <w:szCs w:val="24"/>
          <w:lang w:eastAsia="tr-TR"/>
        </w:rPr>
        <w:t> Yolcu trafiğinde toparlanma yaşansa da kargo operasyonları hala önemli bir gelir kaynağıdır. THYAO Kargo, global sıralamada üst sıralarda yer alıyor ve sektördeki güçlü konumunu koruyor.</w:t>
      </w:r>
    </w:p>
    <w:p w:rsidR="006C6AEF" w:rsidRPr="006C6AEF" w:rsidRDefault="006C6AEF" w:rsidP="006C6AEF">
      <w:pPr>
        <w:numPr>
          <w:ilvl w:val="0"/>
          <w:numId w:val="1"/>
        </w:numPr>
        <w:spacing w:after="0" w:line="300" w:lineRule="atLeast"/>
        <w:ind w:left="225" w:right="225"/>
        <w:textAlignment w:val="baseline"/>
        <w:rPr>
          <w:rFonts w:ascii="inherit" w:eastAsia="Times New Roman" w:hAnsi="inherit" w:cs="Times New Roman"/>
          <w:color w:val="000000"/>
          <w:sz w:val="24"/>
          <w:szCs w:val="24"/>
          <w:lang w:eastAsia="tr-TR"/>
        </w:rPr>
      </w:pPr>
      <w:r w:rsidRPr="006C6AEF">
        <w:rPr>
          <w:rFonts w:ascii="inherit" w:eastAsia="Times New Roman" w:hAnsi="inherit" w:cs="Times New Roman"/>
          <w:i/>
          <w:iCs/>
          <w:color w:val="000000"/>
          <w:sz w:val="24"/>
          <w:szCs w:val="24"/>
          <w:bdr w:val="none" w:sz="0" w:space="0" w:color="auto" w:frame="1"/>
          <w:lang w:eastAsia="tr-TR"/>
        </w:rPr>
        <w:t>AJet:</w:t>
      </w:r>
      <w:r w:rsidRPr="006C6AEF">
        <w:rPr>
          <w:rFonts w:ascii="inherit" w:eastAsia="Times New Roman" w:hAnsi="inherit" w:cs="Times New Roman"/>
          <w:b/>
          <w:bCs/>
          <w:color w:val="000000"/>
          <w:sz w:val="24"/>
          <w:szCs w:val="24"/>
          <w:bdr w:val="none" w:sz="0" w:space="0" w:color="auto" w:frame="1"/>
          <w:lang w:eastAsia="tr-TR"/>
        </w:rPr>
        <w:t> </w:t>
      </w:r>
      <w:r w:rsidRPr="006C6AEF">
        <w:rPr>
          <w:rFonts w:ascii="inherit" w:eastAsia="Times New Roman" w:hAnsi="inherit" w:cs="Times New Roman"/>
          <w:color w:val="000000"/>
          <w:sz w:val="24"/>
          <w:szCs w:val="24"/>
          <w:lang w:eastAsia="tr-TR"/>
        </w:rPr>
        <w:t>Yeni nesil uçaklarla filo yenilemesi yaparak birim maliyetleri düşürmüş ve yakıt verimliliğini artırmıştır. Uluslararası odaklı uçuş ağını genişletirken, tatil ve etnik seyahat pazarlarına yönelmiştir. Dijital dönüşümle uçak içi yan gelirlerini artırmayı ve online satış kanallarını güçlendirmeyi hedeflemiştir. AnadoluJet’in büyüme stratejileri, maliyet avantajı, müşteri kitlesinin genişlemesi ve yan gelirlerin artmasıyla THYAO’nun karlılığına ve pazar payına olumlu katkı sağlamaktadır.</w:t>
      </w:r>
    </w:p>
    <w:p w:rsidR="006C6AEF" w:rsidRPr="006C6AEF" w:rsidRDefault="006C6AEF" w:rsidP="006C6AEF">
      <w:pPr>
        <w:numPr>
          <w:ilvl w:val="0"/>
          <w:numId w:val="1"/>
        </w:numPr>
        <w:spacing w:after="0" w:line="300" w:lineRule="atLeast"/>
        <w:ind w:left="225" w:right="225"/>
        <w:textAlignment w:val="baseline"/>
        <w:rPr>
          <w:rFonts w:ascii="inherit" w:eastAsia="Times New Roman" w:hAnsi="inherit" w:cs="Times New Roman"/>
          <w:color w:val="000000"/>
          <w:sz w:val="24"/>
          <w:szCs w:val="24"/>
          <w:lang w:eastAsia="tr-TR"/>
        </w:rPr>
      </w:pPr>
      <w:r w:rsidRPr="006C6AEF">
        <w:rPr>
          <w:rFonts w:ascii="inherit" w:eastAsia="Times New Roman" w:hAnsi="inherit" w:cs="Times New Roman"/>
          <w:i/>
          <w:iCs/>
          <w:color w:val="000000"/>
          <w:sz w:val="24"/>
          <w:szCs w:val="24"/>
          <w:bdr w:val="none" w:sz="0" w:space="0" w:color="auto" w:frame="1"/>
          <w:lang w:eastAsia="tr-TR"/>
        </w:rPr>
        <w:t>Turizm Verileri:</w:t>
      </w:r>
      <w:r w:rsidRPr="006C6AEF">
        <w:rPr>
          <w:rFonts w:ascii="inherit" w:eastAsia="Times New Roman" w:hAnsi="inherit" w:cs="Times New Roman"/>
          <w:color w:val="000000"/>
          <w:sz w:val="24"/>
          <w:szCs w:val="24"/>
          <w:lang w:eastAsia="tr-TR"/>
        </w:rPr>
        <w:t> Türkiye’nin 2024 yaz sezonunda turizmde güçlü performans sergilemesi, havacılık sektörünün dış hat gelirlerini artırdı.</w:t>
      </w:r>
    </w:p>
    <w:p w:rsidR="006C6AEF" w:rsidRPr="006C6AEF" w:rsidRDefault="006C6AEF" w:rsidP="006C6AEF">
      <w:pPr>
        <w:spacing w:after="0" w:line="360" w:lineRule="atLeast"/>
        <w:ind w:left="150" w:right="150"/>
        <w:textAlignment w:val="baseline"/>
        <w:outlineLvl w:val="2"/>
        <w:rPr>
          <w:rFonts w:ascii="inherit" w:eastAsia="Times New Roman" w:hAnsi="inherit" w:cs="Times New Roman"/>
          <w:b/>
          <w:bCs/>
          <w:color w:val="0A4975"/>
          <w:sz w:val="27"/>
          <w:szCs w:val="27"/>
          <w:lang w:eastAsia="tr-TR"/>
        </w:rPr>
      </w:pPr>
      <w:r w:rsidRPr="006C6AEF">
        <w:rPr>
          <w:rFonts w:ascii="inherit" w:eastAsia="Times New Roman" w:hAnsi="inherit" w:cs="Times New Roman"/>
          <w:b/>
          <w:bCs/>
          <w:i/>
          <w:iCs/>
          <w:color w:val="0A4975"/>
          <w:sz w:val="27"/>
          <w:szCs w:val="27"/>
          <w:bdr w:val="none" w:sz="0" w:space="0" w:color="auto" w:frame="1"/>
          <w:lang w:eastAsia="tr-TR"/>
        </w:rPr>
        <w:t>Risk Unsurları;</w:t>
      </w:r>
    </w:p>
    <w:p w:rsidR="006C6AEF" w:rsidRPr="006C6AEF" w:rsidRDefault="006C6AEF" w:rsidP="006C6AEF">
      <w:pPr>
        <w:numPr>
          <w:ilvl w:val="0"/>
          <w:numId w:val="2"/>
        </w:numPr>
        <w:spacing w:after="0" w:line="300" w:lineRule="atLeast"/>
        <w:ind w:left="225" w:right="225"/>
        <w:textAlignment w:val="baseline"/>
        <w:rPr>
          <w:rFonts w:ascii="inherit" w:eastAsia="Times New Roman" w:hAnsi="inherit" w:cs="Times New Roman"/>
          <w:color w:val="000000"/>
          <w:sz w:val="24"/>
          <w:szCs w:val="24"/>
          <w:lang w:eastAsia="tr-TR"/>
        </w:rPr>
      </w:pPr>
      <w:r w:rsidRPr="006C6AEF">
        <w:rPr>
          <w:rFonts w:ascii="inherit" w:eastAsia="Times New Roman" w:hAnsi="inherit" w:cs="Times New Roman"/>
          <w:i/>
          <w:iCs/>
          <w:color w:val="000000"/>
          <w:sz w:val="24"/>
          <w:szCs w:val="24"/>
          <w:bdr w:val="none" w:sz="0" w:space="0" w:color="auto" w:frame="1"/>
          <w:lang w:eastAsia="tr-TR"/>
        </w:rPr>
        <w:t>Petrol Fiyatları:</w:t>
      </w:r>
      <w:r w:rsidRPr="006C6AEF">
        <w:rPr>
          <w:rFonts w:ascii="inherit" w:eastAsia="Times New Roman" w:hAnsi="inherit" w:cs="Times New Roman"/>
          <w:b/>
          <w:bCs/>
          <w:color w:val="000000"/>
          <w:sz w:val="24"/>
          <w:szCs w:val="24"/>
          <w:bdr w:val="none" w:sz="0" w:space="0" w:color="auto" w:frame="1"/>
          <w:lang w:eastAsia="tr-TR"/>
        </w:rPr>
        <w:t> </w:t>
      </w:r>
      <w:r w:rsidRPr="006C6AEF">
        <w:rPr>
          <w:rFonts w:ascii="inherit" w:eastAsia="Times New Roman" w:hAnsi="inherit" w:cs="Times New Roman"/>
          <w:color w:val="000000"/>
          <w:sz w:val="24"/>
          <w:szCs w:val="24"/>
          <w:lang w:eastAsia="tr-TR"/>
        </w:rPr>
        <w:t xml:space="preserve">Havayolu şirketlerinin en büyük gider kalemi akaryakıt maliyetleridir. Petrol fiyatlarının yükselmesi, sektör karlılığı üzerinde ciddi bir baskı yaratabilir. </w:t>
      </w:r>
      <w:r w:rsidRPr="006C6AEF">
        <w:rPr>
          <w:rFonts w:ascii="inherit" w:eastAsia="Times New Roman" w:hAnsi="inherit" w:cs="Times New Roman"/>
          <w:color w:val="000000"/>
          <w:sz w:val="24"/>
          <w:szCs w:val="24"/>
          <w:lang w:eastAsia="tr-TR"/>
        </w:rPr>
        <w:lastRenderedPageBreak/>
        <w:t>Şirketlerin hedging politikaları bu riski sınırlayabilir, ancak volatil fiyatlar hala önemli bir tehdit olarak öne çıkmaktadır.</w:t>
      </w:r>
    </w:p>
    <w:p w:rsidR="006C6AEF" w:rsidRPr="006C6AEF" w:rsidRDefault="006C6AEF" w:rsidP="006C6AEF">
      <w:pPr>
        <w:numPr>
          <w:ilvl w:val="0"/>
          <w:numId w:val="2"/>
        </w:numPr>
        <w:spacing w:after="0" w:line="300" w:lineRule="atLeast"/>
        <w:ind w:left="225" w:right="225"/>
        <w:textAlignment w:val="baseline"/>
        <w:rPr>
          <w:rFonts w:ascii="inherit" w:eastAsia="Times New Roman" w:hAnsi="inherit" w:cs="Times New Roman"/>
          <w:color w:val="000000"/>
          <w:sz w:val="24"/>
          <w:szCs w:val="24"/>
          <w:lang w:eastAsia="tr-TR"/>
        </w:rPr>
      </w:pPr>
      <w:r w:rsidRPr="006C6AEF">
        <w:rPr>
          <w:rFonts w:ascii="inherit" w:eastAsia="Times New Roman" w:hAnsi="inherit" w:cs="Times New Roman"/>
          <w:i/>
          <w:iCs/>
          <w:color w:val="000000"/>
          <w:sz w:val="24"/>
          <w:szCs w:val="24"/>
          <w:bdr w:val="none" w:sz="0" w:space="0" w:color="auto" w:frame="1"/>
          <w:lang w:eastAsia="tr-TR"/>
        </w:rPr>
        <w:t>Salgın Hastalıklar:</w:t>
      </w:r>
      <w:r w:rsidRPr="006C6AEF">
        <w:rPr>
          <w:rFonts w:ascii="inherit" w:eastAsia="Times New Roman" w:hAnsi="inherit" w:cs="Times New Roman"/>
          <w:color w:val="000000"/>
          <w:sz w:val="24"/>
          <w:szCs w:val="24"/>
          <w:lang w:eastAsia="tr-TR"/>
        </w:rPr>
        <w:t> Pandemi süreci, havacılık sektörünün kırılgan yapısını ortaya koymuştur. Yeni bir salgın veya sağlık tehdidi, yolcu talebinde ani düşüşlere neden olabilir.</w:t>
      </w:r>
    </w:p>
    <w:p w:rsidR="006C6AEF" w:rsidRPr="006C6AEF" w:rsidRDefault="006C6AEF" w:rsidP="006C6AEF">
      <w:pPr>
        <w:numPr>
          <w:ilvl w:val="0"/>
          <w:numId w:val="2"/>
        </w:numPr>
        <w:spacing w:after="0" w:line="300" w:lineRule="atLeast"/>
        <w:ind w:left="225" w:right="225"/>
        <w:textAlignment w:val="baseline"/>
        <w:rPr>
          <w:rFonts w:ascii="inherit" w:eastAsia="Times New Roman" w:hAnsi="inherit" w:cs="Times New Roman"/>
          <w:color w:val="000000"/>
          <w:sz w:val="24"/>
          <w:szCs w:val="24"/>
          <w:lang w:eastAsia="tr-TR"/>
        </w:rPr>
      </w:pPr>
      <w:r w:rsidRPr="006C6AEF">
        <w:rPr>
          <w:rFonts w:ascii="inherit" w:eastAsia="Times New Roman" w:hAnsi="inherit" w:cs="Times New Roman"/>
          <w:i/>
          <w:iCs/>
          <w:color w:val="000000"/>
          <w:sz w:val="24"/>
          <w:szCs w:val="24"/>
          <w:bdr w:val="none" w:sz="0" w:space="0" w:color="auto" w:frame="1"/>
          <w:lang w:eastAsia="tr-TR"/>
        </w:rPr>
        <w:t>Jeopolitik Gerginlikler:</w:t>
      </w:r>
      <w:r w:rsidRPr="006C6AEF">
        <w:rPr>
          <w:rFonts w:ascii="inherit" w:eastAsia="Times New Roman" w:hAnsi="inherit" w:cs="Times New Roman"/>
          <w:color w:val="000000"/>
          <w:sz w:val="24"/>
          <w:szCs w:val="24"/>
          <w:lang w:eastAsia="tr-TR"/>
        </w:rPr>
        <w:t> Türkiye’nin jeopolitik konumu nedeniyle bölgesel çatışmalar, rotalarda iptallere ve operasyonel değişikliklere yol açabilir. Özellikle Orta Doğu ve Rusya ile ilişkiler, sektör üzerindeki riskleri artırmaktadır.</w:t>
      </w:r>
    </w:p>
    <w:p w:rsidR="006C6AEF" w:rsidRPr="006C6AEF" w:rsidRDefault="006C6AEF" w:rsidP="006C6AEF">
      <w:pPr>
        <w:spacing w:after="0" w:line="360" w:lineRule="atLeast"/>
        <w:ind w:left="150" w:right="150"/>
        <w:textAlignment w:val="baseline"/>
        <w:outlineLvl w:val="1"/>
        <w:rPr>
          <w:rFonts w:ascii="inherit" w:eastAsia="Times New Roman" w:hAnsi="inherit" w:cs="Times New Roman"/>
          <w:b/>
          <w:bCs/>
          <w:color w:val="0A4975"/>
          <w:sz w:val="27"/>
          <w:szCs w:val="27"/>
          <w:lang w:eastAsia="tr-TR"/>
        </w:rPr>
      </w:pPr>
      <w:r w:rsidRPr="006C6AEF">
        <w:rPr>
          <w:rFonts w:ascii="inherit" w:eastAsia="Times New Roman" w:hAnsi="inherit" w:cs="Times New Roman"/>
          <w:b/>
          <w:bCs/>
          <w:i/>
          <w:iCs/>
          <w:color w:val="0A4975"/>
          <w:sz w:val="27"/>
          <w:szCs w:val="27"/>
          <w:bdr w:val="none" w:sz="0" w:space="0" w:color="auto" w:frame="1"/>
          <w:lang w:eastAsia="tr-TR"/>
        </w:rPr>
        <w:t>3.Çeyrek Finansal Sonuçları;</w:t>
      </w:r>
    </w:p>
    <w:p w:rsidR="006C6AEF" w:rsidRPr="006C6AEF" w:rsidRDefault="006C6AEF" w:rsidP="006C6AEF">
      <w:pPr>
        <w:spacing w:after="0" w:line="300" w:lineRule="atLeast"/>
        <w:ind w:left="150" w:right="150"/>
        <w:textAlignment w:val="baseline"/>
        <w:rPr>
          <w:rFonts w:ascii="inherit" w:eastAsia="Times New Roman" w:hAnsi="inherit" w:cs="Times New Roman"/>
          <w:color w:val="000000"/>
          <w:sz w:val="24"/>
          <w:szCs w:val="24"/>
          <w:lang w:eastAsia="tr-TR"/>
        </w:rPr>
      </w:pPr>
      <w:r w:rsidRPr="006C6AEF">
        <w:rPr>
          <w:rFonts w:ascii="inherit" w:eastAsia="Times New Roman" w:hAnsi="inherit" w:cs="Times New Roman"/>
          <w:b/>
          <w:bCs/>
          <w:color w:val="000000"/>
          <w:sz w:val="24"/>
          <w:szCs w:val="24"/>
          <w:bdr w:val="none" w:sz="0" w:space="0" w:color="auto" w:frame="1"/>
          <w:lang w:eastAsia="tr-TR"/>
        </w:rPr>
        <w:t>→</w:t>
      </w:r>
      <w:r w:rsidRPr="006C6AEF">
        <w:rPr>
          <w:rFonts w:ascii="inherit" w:eastAsia="Times New Roman" w:hAnsi="inherit" w:cs="Times New Roman"/>
          <w:color w:val="000000"/>
          <w:sz w:val="24"/>
          <w:szCs w:val="24"/>
          <w:lang w:eastAsia="tr-TR"/>
        </w:rPr>
        <w:t> </w:t>
      </w:r>
      <w:r w:rsidRPr="006C6AEF">
        <w:rPr>
          <w:rFonts w:ascii="inherit" w:eastAsia="Times New Roman" w:hAnsi="inherit" w:cs="Times New Roman"/>
          <w:b/>
          <w:bCs/>
          <w:color w:val="000000"/>
          <w:sz w:val="24"/>
          <w:szCs w:val="24"/>
          <w:bdr w:val="none" w:sz="0" w:space="0" w:color="auto" w:frame="1"/>
          <w:lang w:eastAsia="tr-TR"/>
        </w:rPr>
        <w:t>Türk Hava Yolları (</w:t>
      </w:r>
      <w:hyperlink r:id="rId8" w:tgtFrame="_blank" w:tooltip="THYAO Hisse Fiyatı" w:history="1">
        <w:r w:rsidRPr="006C6AEF">
          <w:rPr>
            <w:rFonts w:ascii="inherit" w:eastAsia="Times New Roman" w:hAnsi="inherit" w:cs="Times New Roman"/>
            <w:b/>
            <w:bCs/>
            <w:color w:val="0000FF"/>
            <w:sz w:val="24"/>
            <w:szCs w:val="24"/>
            <w:u w:val="single"/>
            <w:bdr w:val="none" w:sz="0" w:space="0" w:color="auto" w:frame="1"/>
            <w:lang w:eastAsia="tr-TR"/>
          </w:rPr>
          <w:t>THYAO</w:t>
        </w:r>
      </w:hyperlink>
      <w:r w:rsidRPr="006C6AEF">
        <w:rPr>
          <w:rFonts w:ascii="inherit" w:eastAsia="Times New Roman" w:hAnsi="inherit" w:cs="Times New Roman"/>
          <w:b/>
          <w:bCs/>
          <w:color w:val="000000"/>
          <w:sz w:val="24"/>
          <w:szCs w:val="24"/>
          <w:bdr w:val="none" w:sz="0" w:space="0" w:color="auto" w:frame="1"/>
          <w:lang w:eastAsia="tr-TR"/>
        </w:rPr>
        <w:t>),</w:t>
      </w:r>
      <w:r w:rsidRPr="006C6AEF">
        <w:rPr>
          <w:rFonts w:ascii="inherit" w:eastAsia="Times New Roman" w:hAnsi="inherit" w:cs="Times New Roman"/>
          <w:color w:val="000000"/>
          <w:sz w:val="24"/>
          <w:szCs w:val="24"/>
          <w:lang w:eastAsia="tr-TR"/>
        </w:rPr>
        <w:t> 2024'ün üçüncü çeyreğinde piyasa beklentilerini aşarak 51,540 milyon TL net kar açıkladı. Net kar çeyreklik %69,57 artış anlamına gelirken, yıllık bazda yatay kaldı. Satış gelirleri yıllık %31,18 artışla 221,815 milyon TL’ye ulaşarak güçlü bir büyüme sergiledi. Kargo gelirleri %47 yükselirken, ABD doları bazında satışlar %5 arttı.</w:t>
      </w:r>
    </w:p>
    <w:p w:rsidR="006C6AEF" w:rsidRPr="006C6AEF" w:rsidRDefault="006C6AEF" w:rsidP="006C6AEF">
      <w:pPr>
        <w:spacing w:after="225" w:line="300" w:lineRule="atLeast"/>
        <w:ind w:left="150" w:right="150"/>
        <w:textAlignment w:val="baseline"/>
        <w:rPr>
          <w:rFonts w:ascii="inherit" w:eastAsia="Times New Roman" w:hAnsi="inherit" w:cs="Times New Roman"/>
          <w:color w:val="000000"/>
          <w:sz w:val="24"/>
          <w:szCs w:val="24"/>
          <w:lang w:eastAsia="tr-TR"/>
        </w:rPr>
      </w:pPr>
      <w:r w:rsidRPr="006C6AEF">
        <w:rPr>
          <w:rFonts w:ascii="inherit" w:eastAsia="Times New Roman" w:hAnsi="inherit" w:cs="Times New Roman"/>
          <w:color w:val="000000"/>
          <w:sz w:val="24"/>
          <w:szCs w:val="24"/>
          <w:lang w:eastAsia="tr-TR"/>
        </w:rPr>
        <w:t>Brüt kar marjı yıllık 6 puan düşüşle %27,47'ye, net kar marjı ise %23,24'e geriledi. Faaliyet ve finansman giderlerindeki artış, kar marjlarını baskıladı. FAVÖK çeyreklik %73,46 artarak 59,088 milyon TL oldu.</w:t>
      </w:r>
    </w:p>
    <w:p w:rsidR="006C6AEF" w:rsidRPr="006C6AEF" w:rsidRDefault="006C6AEF" w:rsidP="006C6AEF">
      <w:pPr>
        <w:spacing w:after="225" w:line="300" w:lineRule="atLeast"/>
        <w:ind w:left="150" w:right="150"/>
        <w:textAlignment w:val="baseline"/>
        <w:rPr>
          <w:rFonts w:ascii="inherit" w:eastAsia="Times New Roman" w:hAnsi="inherit" w:cs="Times New Roman"/>
          <w:color w:val="000000"/>
          <w:sz w:val="24"/>
          <w:szCs w:val="24"/>
          <w:lang w:eastAsia="tr-TR"/>
        </w:rPr>
      </w:pPr>
      <w:r w:rsidRPr="006C6AEF">
        <w:rPr>
          <w:rFonts w:ascii="inherit" w:eastAsia="Times New Roman" w:hAnsi="inherit" w:cs="Times New Roman"/>
          <w:color w:val="000000"/>
          <w:sz w:val="24"/>
          <w:szCs w:val="24"/>
          <w:lang w:eastAsia="tr-TR"/>
        </w:rPr>
        <w:t>İhracat oranı %88,40 ile istikrarını koruyarak döviz gelirlerine dayalı yapının güçlü kaldığını gösterdi. Net kar ve gelirlerdeki büyüme olumlu bir performans sunarken, artan maliyetler karlılık üzerinde sınırlayıcı etki yarattı. Genel olarak, maliyet baskısına rağmen güçlü operasyonel sonuçlar öne çıktı.</w:t>
      </w:r>
    </w:p>
    <w:p w:rsidR="006C6AEF" w:rsidRPr="006C6AEF" w:rsidRDefault="006C6AEF" w:rsidP="006C6AEF">
      <w:pPr>
        <w:spacing w:after="0" w:line="300" w:lineRule="atLeast"/>
        <w:ind w:left="150" w:right="150"/>
        <w:textAlignment w:val="baseline"/>
        <w:rPr>
          <w:rFonts w:ascii="inherit" w:eastAsia="Times New Roman" w:hAnsi="inherit" w:cs="Times New Roman"/>
          <w:color w:val="000000"/>
          <w:sz w:val="24"/>
          <w:szCs w:val="24"/>
          <w:lang w:eastAsia="tr-TR"/>
        </w:rPr>
      </w:pPr>
      <w:r w:rsidRPr="006C6AEF">
        <w:rPr>
          <w:rFonts w:ascii="inherit" w:eastAsia="Times New Roman" w:hAnsi="inherit" w:cs="Times New Roman"/>
          <w:b/>
          <w:bCs/>
          <w:color w:val="000000"/>
          <w:sz w:val="24"/>
          <w:szCs w:val="24"/>
          <w:bdr w:val="none" w:sz="0" w:space="0" w:color="auto" w:frame="1"/>
          <w:lang w:eastAsia="tr-TR"/>
        </w:rPr>
        <w:t>→</w:t>
      </w:r>
      <w:r w:rsidRPr="006C6AEF">
        <w:rPr>
          <w:rFonts w:ascii="inherit" w:eastAsia="Times New Roman" w:hAnsi="inherit" w:cs="Times New Roman"/>
          <w:color w:val="000000"/>
          <w:sz w:val="24"/>
          <w:szCs w:val="24"/>
          <w:lang w:eastAsia="tr-TR"/>
        </w:rPr>
        <w:t> </w:t>
      </w:r>
      <w:r w:rsidRPr="006C6AEF">
        <w:rPr>
          <w:rFonts w:ascii="inherit" w:eastAsia="Times New Roman" w:hAnsi="inherit" w:cs="Times New Roman"/>
          <w:b/>
          <w:bCs/>
          <w:color w:val="000000"/>
          <w:sz w:val="24"/>
          <w:szCs w:val="24"/>
          <w:bdr w:val="none" w:sz="0" w:space="0" w:color="auto" w:frame="1"/>
          <w:lang w:eastAsia="tr-TR"/>
        </w:rPr>
        <w:t>Pegasus (</w:t>
      </w:r>
      <w:hyperlink r:id="rId9" w:tgtFrame="_blank" w:tooltip="PGSUS Hisse Fiyatı" w:history="1">
        <w:r w:rsidRPr="006C6AEF">
          <w:rPr>
            <w:rFonts w:ascii="inherit" w:eastAsia="Times New Roman" w:hAnsi="inherit" w:cs="Times New Roman"/>
            <w:b/>
            <w:bCs/>
            <w:color w:val="0000FF"/>
            <w:sz w:val="24"/>
            <w:szCs w:val="24"/>
            <w:u w:val="single"/>
            <w:bdr w:val="none" w:sz="0" w:space="0" w:color="auto" w:frame="1"/>
            <w:lang w:eastAsia="tr-TR"/>
          </w:rPr>
          <w:t>PGSUS</w:t>
        </w:r>
      </w:hyperlink>
      <w:r w:rsidRPr="006C6AEF">
        <w:rPr>
          <w:rFonts w:ascii="inherit" w:eastAsia="Times New Roman" w:hAnsi="inherit" w:cs="Times New Roman"/>
          <w:b/>
          <w:bCs/>
          <w:color w:val="000000"/>
          <w:sz w:val="24"/>
          <w:szCs w:val="24"/>
          <w:bdr w:val="none" w:sz="0" w:space="0" w:color="auto" w:frame="1"/>
          <w:lang w:eastAsia="tr-TR"/>
        </w:rPr>
        <w:t>),</w:t>
      </w:r>
      <w:r w:rsidRPr="006C6AEF">
        <w:rPr>
          <w:rFonts w:ascii="inherit" w:eastAsia="Times New Roman" w:hAnsi="inherit" w:cs="Times New Roman"/>
          <w:color w:val="000000"/>
          <w:sz w:val="24"/>
          <w:szCs w:val="24"/>
          <w:lang w:eastAsia="tr-TR"/>
        </w:rPr>
        <w:t> 2024’ün üçüncü çeyreğinde 40,08 milyar TL ciro, 16,03 milyar TL FAVÖK ve 10,82 milyar TL net kar açıkladı. Bu rakamlar, cirosunda %42,8, FAVÖK’ünde %33 ve net karında %40,2 oranında yıllık artışa işaret ediyor.</w:t>
      </w:r>
    </w:p>
    <w:p w:rsidR="006C6AEF" w:rsidRPr="006C6AEF" w:rsidRDefault="006C6AEF" w:rsidP="006C6AEF">
      <w:pPr>
        <w:spacing w:after="225" w:line="300" w:lineRule="atLeast"/>
        <w:ind w:left="150" w:right="150"/>
        <w:textAlignment w:val="baseline"/>
        <w:rPr>
          <w:rFonts w:ascii="inherit" w:eastAsia="Times New Roman" w:hAnsi="inherit" w:cs="Times New Roman"/>
          <w:color w:val="000000"/>
          <w:sz w:val="24"/>
          <w:szCs w:val="24"/>
          <w:lang w:eastAsia="tr-TR"/>
        </w:rPr>
      </w:pPr>
      <w:r w:rsidRPr="006C6AEF">
        <w:rPr>
          <w:rFonts w:ascii="inherit" w:eastAsia="Times New Roman" w:hAnsi="inherit" w:cs="Times New Roman"/>
          <w:color w:val="000000"/>
          <w:sz w:val="24"/>
          <w:szCs w:val="24"/>
          <w:lang w:eastAsia="tr-TR"/>
        </w:rPr>
        <w:t>Operasyonel verilere göre, arz edilen koltuk kilometre (AKK) %9 büyürken, yolcu doluluk oranı %89,1 ile geçen yılın üzerinde gerçekleşti. RASK (AKK başına birim gelir) , çeyrek bazda %4 artış sergilerken yıllık bazda yatay bir görünüm sergiledi.</w:t>
      </w:r>
    </w:p>
    <w:p w:rsidR="006C6AEF" w:rsidRPr="006C6AEF" w:rsidRDefault="006C6AEF" w:rsidP="006C6AEF">
      <w:pPr>
        <w:spacing w:after="225" w:line="300" w:lineRule="atLeast"/>
        <w:ind w:left="150" w:right="150"/>
        <w:textAlignment w:val="baseline"/>
        <w:rPr>
          <w:rFonts w:ascii="inherit" w:eastAsia="Times New Roman" w:hAnsi="inherit" w:cs="Times New Roman"/>
          <w:color w:val="000000"/>
          <w:sz w:val="24"/>
          <w:szCs w:val="24"/>
          <w:lang w:eastAsia="tr-TR"/>
        </w:rPr>
      </w:pPr>
      <w:r w:rsidRPr="006C6AEF">
        <w:rPr>
          <w:rFonts w:ascii="inherit" w:eastAsia="Times New Roman" w:hAnsi="inherit" w:cs="Times New Roman"/>
          <w:color w:val="000000"/>
          <w:sz w:val="24"/>
          <w:szCs w:val="24"/>
          <w:lang w:eastAsia="tr-TR"/>
        </w:rPr>
        <w:t>Gider tarafında, personel maliyetleri %80, bakım giderleri ise %55 artarak CASK (AKK başına birim gider) üzerindeki baskıyı artırdı. Akaryakıt giderleri çeyreklik bazda %5 düşüş gösterirken, bu durum maliyetlerde kısmi bir denge sağladı. 9 aylık FAVÖK marjı %30’a gerilerken, çeyreklik bazda %40 seviyesinde güçlü bir performans sergilendi.</w:t>
      </w:r>
    </w:p>
    <w:p w:rsidR="006C6AEF" w:rsidRPr="006C6AEF" w:rsidRDefault="006C6AEF" w:rsidP="006C6AEF">
      <w:pPr>
        <w:spacing w:after="225" w:line="300" w:lineRule="atLeast"/>
        <w:ind w:left="150" w:right="150"/>
        <w:textAlignment w:val="baseline"/>
        <w:rPr>
          <w:rFonts w:ascii="inherit" w:eastAsia="Times New Roman" w:hAnsi="inherit" w:cs="Times New Roman"/>
          <w:color w:val="000000"/>
          <w:sz w:val="24"/>
          <w:szCs w:val="24"/>
          <w:lang w:eastAsia="tr-TR"/>
        </w:rPr>
      </w:pPr>
      <w:r w:rsidRPr="006C6AEF">
        <w:rPr>
          <w:rFonts w:ascii="inherit" w:eastAsia="Times New Roman" w:hAnsi="inherit" w:cs="Times New Roman"/>
          <w:color w:val="000000"/>
          <w:sz w:val="24"/>
          <w:szCs w:val="24"/>
          <w:lang w:eastAsia="tr-TR"/>
        </w:rPr>
        <w:t>Şirket, 2024 yılı için %12-14 AKK büyüme beklentisini korurken, RASK tahminini hafif artış yönünde güncelledi. Yakıt hariç CASK beklentisi, artan personel giderleri nedeniyle düşük çift hanelere revize edildi. %28-30 FAVÖK marj hedefi ise korunuyor. Pegasus’un genç ve verimli uçak filosu, yüksek operasyonel marjlarla birlikte, maliyet baskılarına rağmen güçlü finansal sonuçlar elde etmesini sağladı.</w:t>
      </w:r>
    </w:p>
    <w:p w:rsidR="006C6AEF" w:rsidRPr="006C6AEF" w:rsidRDefault="006C6AEF" w:rsidP="006C6AEF">
      <w:pPr>
        <w:spacing w:after="0" w:line="360" w:lineRule="atLeast"/>
        <w:ind w:left="150" w:right="150"/>
        <w:textAlignment w:val="baseline"/>
        <w:outlineLvl w:val="1"/>
        <w:rPr>
          <w:rFonts w:ascii="inherit" w:eastAsia="Times New Roman" w:hAnsi="inherit" w:cs="Times New Roman"/>
          <w:b/>
          <w:bCs/>
          <w:color w:val="0A4975"/>
          <w:sz w:val="27"/>
          <w:szCs w:val="27"/>
          <w:lang w:eastAsia="tr-TR"/>
        </w:rPr>
      </w:pPr>
      <w:r w:rsidRPr="006C6AEF">
        <w:rPr>
          <w:rFonts w:ascii="inherit" w:eastAsia="Times New Roman" w:hAnsi="inherit" w:cs="Times New Roman"/>
          <w:b/>
          <w:bCs/>
          <w:i/>
          <w:iCs/>
          <w:color w:val="0A4975"/>
          <w:sz w:val="27"/>
          <w:szCs w:val="27"/>
          <w:bdr w:val="none" w:sz="0" w:space="0" w:color="auto" w:frame="1"/>
          <w:lang w:eastAsia="tr-TR"/>
        </w:rPr>
        <w:t>Teknik Değerlendirme</w:t>
      </w:r>
    </w:p>
    <w:p w:rsidR="006C6AEF" w:rsidRPr="006C6AEF" w:rsidRDefault="006C6AEF" w:rsidP="006C6AEF">
      <w:pPr>
        <w:spacing w:after="0" w:line="300" w:lineRule="atLeast"/>
        <w:ind w:left="150" w:right="150"/>
        <w:textAlignment w:val="baseline"/>
        <w:rPr>
          <w:rFonts w:ascii="inherit" w:eastAsia="Times New Roman" w:hAnsi="inherit" w:cs="Times New Roman"/>
          <w:color w:val="000000"/>
          <w:sz w:val="24"/>
          <w:szCs w:val="24"/>
          <w:lang w:eastAsia="tr-TR"/>
        </w:rPr>
      </w:pPr>
      <w:r w:rsidRPr="006C6AEF">
        <w:rPr>
          <w:rFonts w:ascii="inherit" w:eastAsia="Times New Roman" w:hAnsi="inherit" w:cs="Times New Roman"/>
          <w:b/>
          <w:bCs/>
          <w:color w:val="000000"/>
          <w:sz w:val="24"/>
          <w:szCs w:val="24"/>
          <w:bdr w:val="none" w:sz="0" w:space="0" w:color="auto" w:frame="1"/>
          <w:lang w:eastAsia="tr-TR"/>
        </w:rPr>
        <w:t>THYAO: </w:t>
      </w:r>
      <w:r w:rsidRPr="006C6AEF">
        <w:rPr>
          <w:rFonts w:ascii="inherit" w:eastAsia="Times New Roman" w:hAnsi="inherit" w:cs="Times New Roman"/>
          <w:color w:val="000000"/>
          <w:sz w:val="24"/>
          <w:szCs w:val="24"/>
          <w:lang w:eastAsia="tr-TR"/>
        </w:rPr>
        <w:t xml:space="preserve">Jeopolitik risk faktörünün etkisiyle geri çekilme izlenen hissede 282,00 – 264,00 bölgesindeki fiyatlama davranışı önem taşımaktadır. Mevcut görünümde dalgalı fiyat hareketleri izlediğimiz hissede iyimserlikten söz edebilmek için ilk etapta ilgili bölge üzerinde tutunma çabası izlenmelidir. Pozitif görünümün teyit kazanabilmesi içinse 293,00 </w:t>
      </w:r>
      <w:r w:rsidRPr="006C6AEF">
        <w:rPr>
          <w:rFonts w:ascii="inherit" w:eastAsia="Times New Roman" w:hAnsi="inherit" w:cs="Times New Roman"/>
          <w:color w:val="000000"/>
          <w:sz w:val="24"/>
          <w:szCs w:val="24"/>
          <w:lang w:eastAsia="tr-TR"/>
        </w:rPr>
        <w:lastRenderedPageBreak/>
        <w:t>seviyesinin de geçilmesi gerektiği unutulmamalıdır. Aksi halde bir müddet daha 282,00 – 264,00 bölgesinde sıkışma hareketi gündemimizde olmaya devam edebilir.</w:t>
      </w:r>
    </w:p>
    <w:p w:rsidR="006C6AEF" w:rsidRPr="006C6AEF" w:rsidRDefault="006C6AEF" w:rsidP="006C6AEF">
      <w:pPr>
        <w:spacing w:after="0" w:line="300" w:lineRule="atLeast"/>
        <w:ind w:left="150" w:right="150"/>
        <w:textAlignment w:val="baseline"/>
        <w:rPr>
          <w:rFonts w:ascii="inherit" w:eastAsia="Times New Roman" w:hAnsi="inherit" w:cs="Times New Roman"/>
          <w:color w:val="000000"/>
          <w:sz w:val="24"/>
          <w:szCs w:val="24"/>
          <w:lang w:eastAsia="tr-TR"/>
        </w:rPr>
      </w:pPr>
      <w:r w:rsidRPr="006C6AEF">
        <w:rPr>
          <w:rFonts w:ascii="inherit" w:eastAsia="Times New Roman" w:hAnsi="inherit" w:cs="Times New Roman"/>
          <w:noProof/>
          <w:color w:val="000000"/>
          <w:sz w:val="24"/>
          <w:szCs w:val="24"/>
          <w:bdr w:val="none" w:sz="0" w:space="0" w:color="auto" w:frame="1"/>
          <w:lang w:eastAsia="tr-TR"/>
        </w:rPr>
        <w:drawing>
          <wp:inline distT="0" distB="0" distL="0" distR="0">
            <wp:extent cx="15840075" cy="7867650"/>
            <wp:effectExtent l="0" t="0" r="9525" b="0"/>
            <wp:docPr id="2" name="Resim 2" descr="https://www.gcmyatirim.com.tr/wp-content/uploads/2024/11/22/thyao_1732272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cmyatirim.com.tr/wp-content/uploads/2024/11/22/thyao_173227222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40075" cy="7867650"/>
                    </a:xfrm>
                    <a:prstGeom prst="rect">
                      <a:avLst/>
                    </a:prstGeom>
                    <a:noFill/>
                    <a:ln>
                      <a:noFill/>
                    </a:ln>
                  </pic:spPr>
                </pic:pic>
              </a:graphicData>
            </a:graphic>
          </wp:inline>
        </w:drawing>
      </w:r>
    </w:p>
    <w:p w:rsidR="006C6AEF" w:rsidRPr="006C6AEF" w:rsidRDefault="006C6AEF" w:rsidP="006C6AEF">
      <w:pPr>
        <w:spacing w:after="0" w:line="300" w:lineRule="atLeast"/>
        <w:ind w:left="150" w:right="150"/>
        <w:textAlignment w:val="baseline"/>
        <w:rPr>
          <w:rFonts w:ascii="inherit" w:eastAsia="Times New Roman" w:hAnsi="inherit" w:cs="Times New Roman"/>
          <w:color w:val="000000"/>
          <w:sz w:val="24"/>
          <w:szCs w:val="24"/>
          <w:lang w:eastAsia="tr-TR"/>
        </w:rPr>
      </w:pPr>
      <w:r w:rsidRPr="006C6AEF">
        <w:rPr>
          <w:rFonts w:ascii="inherit" w:eastAsia="Times New Roman" w:hAnsi="inherit" w:cs="Times New Roman"/>
          <w:b/>
          <w:bCs/>
          <w:color w:val="000000"/>
          <w:sz w:val="24"/>
          <w:szCs w:val="24"/>
          <w:bdr w:val="none" w:sz="0" w:space="0" w:color="auto" w:frame="1"/>
          <w:lang w:eastAsia="tr-TR"/>
        </w:rPr>
        <w:t>PGSUS:</w:t>
      </w:r>
      <w:r w:rsidRPr="006C6AEF">
        <w:rPr>
          <w:rFonts w:ascii="inherit" w:eastAsia="Times New Roman" w:hAnsi="inherit" w:cs="Times New Roman"/>
          <w:color w:val="000000"/>
          <w:sz w:val="24"/>
          <w:szCs w:val="24"/>
          <w:lang w:eastAsia="tr-TR"/>
        </w:rPr>
        <w:t xml:space="preserve"> Jeopolitik risk faktörünün etkisiyle baskı gören hissede 234,00 – 225,00 bölgesi altına inilmesiyle görünüm negatif seyrediyor. Toparlanma çabası halinde 234,00 seviyesi üzerinde yeniden tutunma gerçekleşirse pozitif görünüme adapte olunabilir. Orta vadeli </w:t>
      </w:r>
      <w:r w:rsidRPr="006C6AEF">
        <w:rPr>
          <w:rFonts w:ascii="inherit" w:eastAsia="Times New Roman" w:hAnsi="inherit" w:cs="Times New Roman"/>
          <w:color w:val="000000"/>
          <w:sz w:val="24"/>
          <w:szCs w:val="24"/>
          <w:lang w:eastAsia="tr-TR"/>
        </w:rPr>
        <w:lastRenderedPageBreak/>
        <w:t>olarak değerlendirildiğinde 234,00 seviyesi üzerinde tutunma çabası 260,00 zirve seviyesine doğru yükselişi destekleyebilir.</w:t>
      </w:r>
    </w:p>
    <w:p w:rsidR="006C6AEF" w:rsidRPr="006C6AEF" w:rsidRDefault="006C6AEF" w:rsidP="006C6AEF">
      <w:pPr>
        <w:spacing w:after="0" w:line="300" w:lineRule="atLeast"/>
        <w:ind w:left="150" w:right="150"/>
        <w:textAlignment w:val="baseline"/>
        <w:rPr>
          <w:rFonts w:ascii="inherit" w:eastAsia="Times New Roman" w:hAnsi="inherit" w:cs="Times New Roman"/>
          <w:color w:val="000000"/>
          <w:sz w:val="24"/>
          <w:szCs w:val="24"/>
          <w:lang w:eastAsia="tr-TR"/>
        </w:rPr>
      </w:pPr>
      <w:r w:rsidRPr="006C6AEF">
        <w:rPr>
          <w:rFonts w:ascii="inherit" w:eastAsia="Times New Roman" w:hAnsi="inherit" w:cs="Times New Roman"/>
          <w:noProof/>
          <w:color w:val="000000"/>
          <w:sz w:val="24"/>
          <w:szCs w:val="24"/>
          <w:bdr w:val="none" w:sz="0" w:space="0" w:color="auto" w:frame="1"/>
          <w:lang w:eastAsia="tr-TR"/>
        </w:rPr>
        <w:drawing>
          <wp:inline distT="0" distB="0" distL="0" distR="0">
            <wp:extent cx="11906250" cy="7658100"/>
            <wp:effectExtent l="0" t="0" r="0" b="0"/>
            <wp:docPr id="1" name="Resim 1" descr="https://www.gcmyatirim.com.tr/wp-content/uploads/2024/11/22/pgsus_1732272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gcmyatirim.com.tr/wp-content/uploads/2024/11/22/pgsus_173227224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0" cy="7658100"/>
                    </a:xfrm>
                    <a:prstGeom prst="rect">
                      <a:avLst/>
                    </a:prstGeom>
                    <a:noFill/>
                    <a:ln>
                      <a:noFill/>
                    </a:ln>
                  </pic:spPr>
                </pic:pic>
              </a:graphicData>
            </a:graphic>
          </wp:inline>
        </w:drawing>
      </w:r>
    </w:p>
    <w:p w:rsidR="006C6AEF" w:rsidRPr="006C6AEF" w:rsidRDefault="006C6AEF" w:rsidP="006C6AEF">
      <w:pPr>
        <w:spacing w:after="0" w:line="360" w:lineRule="atLeast"/>
        <w:ind w:left="150" w:right="150"/>
        <w:textAlignment w:val="baseline"/>
        <w:outlineLvl w:val="1"/>
        <w:rPr>
          <w:rFonts w:ascii="inherit" w:eastAsia="Times New Roman" w:hAnsi="inherit" w:cs="Times New Roman"/>
          <w:b/>
          <w:bCs/>
          <w:color w:val="0A4975"/>
          <w:sz w:val="27"/>
          <w:szCs w:val="27"/>
          <w:lang w:eastAsia="tr-TR"/>
        </w:rPr>
      </w:pPr>
      <w:r w:rsidRPr="006C6AEF">
        <w:rPr>
          <w:rFonts w:ascii="inherit" w:eastAsia="Times New Roman" w:hAnsi="inherit" w:cs="Times New Roman"/>
          <w:b/>
          <w:bCs/>
          <w:i/>
          <w:iCs/>
          <w:color w:val="0A4975"/>
          <w:sz w:val="27"/>
          <w:szCs w:val="27"/>
          <w:bdr w:val="none" w:sz="0" w:space="0" w:color="auto" w:frame="1"/>
          <w:lang w:eastAsia="tr-TR"/>
        </w:rPr>
        <w:t>Genel Değerlendirme;</w:t>
      </w:r>
    </w:p>
    <w:p w:rsidR="006C6AEF" w:rsidRPr="006C6AEF" w:rsidRDefault="006C6AEF" w:rsidP="006C6AEF">
      <w:pPr>
        <w:spacing w:after="0" w:line="300" w:lineRule="atLeast"/>
        <w:ind w:left="150" w:right="150"/>
        <w:textAlignment w:val="baseline"/>
        <w:rPr>
          <w:rFonts w:ascii="inherit" w:eastAsia="Times New Roman" w:hAnsi="inherit" w:cs="Times New Roman"/>
          <w:color w:val="000000"/>
          <w:sz w:val="24"/>
          <w:szCs w:val="24"/>
          <w:lang w:eastAsia="tr-TR"/>
        </w:rPr>
      </w:pPr>
      <w:r w:rsidRPr="006C6AEF">
        <w:rPr>
          <w:rFonts w:ascii="inherit" w:eastAsia="Times New Roman" w:hAnsi="inherit" w:cs="Times New Roman"/>
          <w:color w:val="000000"/>
          <w:sz w:val="24"/>
          <w:szCs w:val="24"/>
          <w:lang w:eastAsia="tr-TR"/>
        </w:rPr>
        <w:t xml:space="preserve">Sektörde büyüme odaklı stratejiler devam ederken, kargo operasyonları ve filo genişlemeleri potansiyel oluşturmaya devam etmektedir. Sektöre yönelik riskler olmasına karşılık, riski minimize edecek stratejik gelişmelerin olması da şirketler açısından önemli </w:t>
      </w:r>
      <w:r w:rsidRPr="006C6AEF">
        <w:rPr>
          <w:rFonts w:ascii="inherit" w:eastAsia="Times New Roman" w:hAnsi="inherit" w:cs="Times New Roman"/>
          <w:color w:val="000000"/>
          <w:sz w:val="24"/>
          <w:szCs w:val="24"/>
          <w:lang w:eastAsia="tr-TR"/>
        </w:rPr>
        <w:lastRenderedPageBreak/>
        <w:t>bir avantaj sağlıyor. Havacılık tarafında genel görünümde şirketleri beğeniyor olsak da model portföyümüzde Türk Hava Yolları’na yer vermekteyiz. Şirketin operasyonel etkinliğini sürdürdüğünü ve güçlü büyüme beklentilerini desteklediğini görmekteyiz. Açıklanan 3.çeyrek finansal sonuçlarına göre de hedef fiyatımızı 335 TL’den 424 TL’ye yükselttik.  </w:t>
      </w:r>
      <w:hyperlink r:id="rId12" w:history="1">
        <w:r w:rsidRPr="006C6AEF">
          <w:rPr>
            <w:rFonts w:ascii="inherit" w:eastAsia="Times New Roman" w:hAnsi="inherit" w:cs="Times New Roman"/>
            <w:b/>
            <w:bCs/>
            <w:color w:val="0000FF"/>
            <w:sz w:val="24"/>
            <w:szCs w:val="24"/>
            <w:u w:val="single"/>
            <w:bdr w:val="none" w:sz="0" w:space="0" w:color="auto" w:frame="1"/>
            <w:lang w:eastAsia="tr-TR"/>
          </w:rPr>
          <w:t>GCM Yatırım Model Portföyümüze</w:t>
        </w:r>
      </w:hyperlink>
      <w:r w:rsidRPr="006C6AEF">
        <w:rPr>
          <w:rFonts w:ascii="inherit" w:eastAsia="Times New Roman" w:hAnsi="inherit" w:cs="Times New Roman"/>
          <w:color w:val="000000"/>
          <w:sz w:val="24"/>
          <w:szCs w:val="24"/>
          <w:lang w:eastAsia="tr-TR"/>
        </w:rPr>
        <w:t> tıklayarak ulaşabilirsiniz.</w:t>
      </w:r>
    </w:p>
    <w:p w:rsidR="006C6AEF" w:rsidRPr="006C6AEF" w:rsidRDefault="006C6AEF" w:rsidP="006C6AEF">
      <w:pPr>
        <w:spacing w:after="0" w:line="240" w:lineRule="auto"/>
        <w:jc w:val="center"/>
        <w:textAlignment w:val="baseline"/>
        <w:rPr>
          <w:rFonts w:ascii="inherit" w:eastAsia="Times New Roman" w:hAnsi="inherit" w:cs="Times New Roman"/>
          <w:b/>
          <w:bCs/>
          <w:color w:val="1D567D"/>
          <w:sz w:val="24"/>
          <w:szCs w:val="24"/>
          <w:lang w:eastAsia="tr-TR"/>
        </w:rPr>
      </w:pPr>
      <w:r w:rsidRPr="006C6AEF">
        <w:rPr>
          <w:rFonts w:ascii="inherit" w:eastAsia="Times New Roman" w:hAnsi="inherit" w:cs="Times New Roman"/>
          <w:b/>
          <w:bCs/>
          <w:color w:val="1D567D"/>
          <w:sz w:val="24"/>
          <w:szCs w:val="24"/>
          <w:lang w:eastAsia="tr-TR"/>
        </w:rPr>
        <w:t>BORSA'DA İŞLEM YAPMAYA BAŞLAYIN!</w:t>
      </w:r>
    </w:p>
    <w:p w:rsidR="006C6AEF" w:rsidRPr="006C6AEF" w:rsidRDefault="006C6AEF" w:rsidP="006C6AEF">
      <w:pPr>
        <w:spacing w:after="0" w:line="240" w:lineRule="auto"/>
        <w:textAlignment w:val="baseline"/>
        <w:rPr>
          <w:rFonts w:ascii="Times New Roman" w:eastAsia="Times New Roman" w:hAnsi="Times New Roman" w:cs="Times New Roman"/>
          <w:color w:val="0000FF"/>
          <w:sz w:val="24"/>
          <w:szCs w:val="24"/>
          <w:bdr w:val="none" w:sz="0" w:space="0" w:color="auto" w:frame="1"/>
          <w:lang w:eastAsia="tr-TR"/>
        </w:rPr>
      </w:pPr>
      <w:r w:rsidRPr="006C6AEF">
        <w:rPr>
          <w:rFonts w:ascii="Times New Roman" w:eastAsia="Times New Roman" w:hAnsi="Times New Roman" w:cs="Times New Roman"/>
          <w:sz w:val="24"/>
          <w:szCs w:val="24"/>
          <w:lang w:eastAsia="tr-TR"/>
        </w:rPr>
        <w:fldChar w:fldCharType="begin"/>
      </w:r>
      <w:r w:rsidRPr="006C6AEF">
        <w:rPr>
          <w:rFonts w:ascii="Times New Roman" w:eastAsia="Times New Roman" w:hAnsi="Times New Roman" w:cs="Times New Roman"/>
          <w:sz w:val="24"/>
          <w:szCs w:val="24"/>
          <w:lang w:eastAsia="tr-TR"/>
        </w:rPr>
        <w:instrText xml:space="preserve"> HYPERLINK "https://www.gcmyatirim.com.tr/borsa/hisse/thyao-hisse-turk-hava-yollari-a-o" </w:instrText>
      </w:r>
      <w:r w:rsidRPr="006C6AEF">
        <w:rPr>
          <w:rFonts w:ascii="Times New Roman" w:eastAsia="Times New Roman" w:hAnsi="Times New Roman" w:cs="Times New Roman"/>
          <w:sz w:val="24"/>
          <w:szCs w:val="24"/>
          <w:lang w:eastAsia="tr-TR"/>
        </w:rPr>
        <w:fldChar w:fldCharType="separate"/>
      </w:r>
    </w:p>
    <w:p w:rsidR="006C6AEF" w:rsidRPr="006C6AEF" w:rsidRDefault="006C6AEF" w:rsidP="006C6AEF">
      <w:pPr>
        <w:spacing w:after="0" w:line="240" w:lineRule="auto"/>
        <w:jc w:val="center"/>
        <w:textAlignment w:val="baseline"/>
        <w:rPr>
          <w:rFonts w:ascii="inherit" w:eastAsia="Times New Roman" w:hAnsi="inherit" w:cs="Times New Roman"/>
          <w:b/>
          <w:bCs/>
          <w:color w:val="375D77"/>
          <w:sz w:val="30"/>
          <w:szCs w:val="30"/>
          <w:lang w:eastAsia="tr-TR"/>
        </w:rPr>
      </w:pPr>
      <w:r w:rsidRPr="006C6AEF">
        <w:rPr>
          <w:rFonts w:ascii="inherit" w:eastAsia="Times New Roman" w:hAnsi="inherit" w:cs="Times New Roman"/>
          <w:b/>
          <w:bCs/>
          <w:color w:val="375D77"/>
          <w:sz w:val="24"/>
          <w:szCs w:val="24"/>
          <w:bdr w:val="none" w:sz="0" w:space="0" w:color="auto" w:frame="1"/>
          <w:lang w:eastAsia="tr-TR"/>
        </w:rPr>
        <w:t>THYAO Hisse</w:t>
      </w:r>
    </w:p>
    <w:p w:rsidR="006C6AEF" w:rsidRPr="006C6AEF" w:rsidRDefault="006C6AEF" w:rsidP="006C6AEF">
      <w:pPr>
        <w:spacing w:after="0" w:line="240" w:lineRule="auto"/>
        <w:textAlignment w:val="baseline"/>
        <w:rPr>
          <w:rFonts w:ascii="Times New Roman" w:eastAsia="Times New Roman" w:hAnsi="Times New Roman" w:cs="Times New Roman"/>
          <w:sz w:val="24"/>
          <w:szCs w:val="24"/>
          <w:lang w:eastAsia="tr-TR"/>
        </w:rPr>
      </w:pPr>
      <w:r w:rsidRPr="006C6AEF">
        <w:rPr>
          <w:rFonts w:ascii="inherit" w:eastAsia="Times New Roman" w:hAnsi="inherit" w:cs="Times New Roman"/>
          <w:b/>
          <w:bCs/>
          <w:color w:val="0000FF"/>
          <w:sz w:val="36"/>
          <w:szCs w:val="36"/>
          <w:bdr w:val="none" w:sz="0" w:space="0" w:color="auto" w:frame="1"/>
          <w:lang w:eastAsia="tr-TR"/>
        </w:rPr>
        <w:t>280.00</w:t>
      </w:r>
      <w:r w:rsidRPr="006C6AEF">
        <w:rPr>
          <w:rFonts w:ascii="inherit" w:eastAsia="Times New Roman" w:hAnsi="inherit" w:cs="Times New Roman"/>
          <w:color w:val="68B44B"/>
          <w:sz w:val="24"/>
          <w:szCs w:val="24"/>
          <w:bdr w:val="none" w:sz="0" w:space="0" w:color="auto" w:frame="1"/>
          <w:lang w:eastAsia="tr-TR"/>
        </w:rPr>
        <w:t>0.09</w:t>
      </w:r>
      <w:r w:rsidRPr="006C6AEF">
        <w:rPr>
          <w:rFonts w:ascii="Times New Roman" w:eastAsia="Times New Roman" w:hAnsi="Times New Roman" w:cs="Times New Roman"/>
          <w:sz w:val="24"/>
          <w:szCs w:val="24"/>
          <w:lang w:eastAsia="tr-TR"/>
        </w:rPr>
        <w:fldChar w:fldCharType="end"/>
      </w:r>
    </w:p>
    <w:p w:rsidR="006C6AEF" w:rsidRPr="006C6AEF" w:rsidRDefault="006C6AEF" w:rsidP="006C6AEF">
      <w:pPr>
        <w:spacing w:line="240" w:lineRule="auto"/>
        <w:textAlignment w:val="baseline"/>
        <w:rPr>
          <w:rFonts w:ascii="Times New Roman" w:eastAsia="Times New Roman" w:hAnsi="Times New Roman" w:cs="Times New Roman"/>
          <w:sz w:val="24"/>
          <w:szCs w:val="24"/>
          <w:lang w:eastAsia="tr-TR"/>
        </w:rPr>
      </w:pPr>
      <w:hyperlink r:id="rId13" w:history="1">
        <w:r w:rsidRPr="006C6AEF">
          <w:rPr>
            <w:rFonts w:ascii="inherit" w:eastAsia="Times New Roman" w:hAnsi="inherit" w:cs="Times New Roman"/>
            <w:b/>
            <w:bCs/>
            <w:color w:val="FFFFFF"/>
            <w:sz w:val="24"/>
            <w:szCs w:val="24"/>
            <w:bdr w:val="none" w:sz="0" w:space="0" w:color="auto" w:frame="1"/>
            <w:shd w:val="clear" w:color="auto" w:fill="FF0000"/>
            <w:lang w:eastAsia="tr-TR"/>
          </w:rPr>
          <w:t>SAT</w:t>
        </w:r>
        <w:r w:rsidRPr="006C6AEF">
          <w:rPr>
            <w:rFonts w:ascii="inherit" w:eastAsia="Times New Roman" w:hAnsi="inherit" w:cs="Times New Roman"/>
            <w:b/>
            <w:bCs/>
            <w:color w:val="FFFFFF"/>
            <w:sz w:val="33"/>
            <w:szCs w:val="33"/>
            <w:bdr w:val="none" w:sz="0" w:space="0" w:color="auto" w:frame="1"/>
            <w:shd w:val="clear" w:color="auto" w:fill="FF0000"/>
            <w:lang w:eastAsia="tr-TR"/>
          </w:rPr>
          <w:t>280.00</w:t>
        </w:r>
      </w:hyperlink>
      <w:hyperlink r:id="rId14" w:history="1">
        <w:r w:rsidRPr="006C6AEF">
          <w:rPr>
            <w:rFonts w:ascii="inherit" w:eastAsia="Times New Roman" w:hAnsi="inherit" w:cs="Times New Roman"/>
            <w:b/>
            <w:bCs/>
            <w:color w:val="0000FF"/>
            <w:sz w:val="24"/>
            <w:szCs w:val="24"/>
            <w:bdr w:val="none" w:sz="0" w:space="0" w:color="auto" w:frame="1"/>
            <w:lang w:eastAsia="tr-TR"/>
          </w:rPr>
          <w:t>AL</w:t>
        </w:r>
        <w:r w:rsidRPr="006C6AEF">
          <w:rPr>
            <w:rFonts w:ascii="inherit" w:eastAsia="Times New Roman" w:hAnsi="inherit" w:cs="Times New Roman"/>
            <w:b/>
            <w:bCs/>
            <w:color w:val="0000FF"/>
            <w:sz w:val="33"/>
            <w:szCs w:val="33"/>
            <w:bdr w:val="none" w:sz="0" w:space="0" w:color="auto" w:frame="1"/>
            <w:lang w:eastAsia="tr-TR"/>
          </w:rPr>
          <w:t>279.75</w:t>
        </w:r>
      </w:hyperlink>
    </w:p>
    <w:p w:rsidR="006C6AEF" w:rsidRPr="006C6AEF" w:rsidRDefault="006C6AEF" w:rsidP="006C6AEF">
      <w:pPr>
        <w:spacing w:after="0" w:line="240" w:lineRule="auto"/>
        <w:jc w:val="center"/>
        <w:textAlignment w:val="baseline"/>
        <w:outlineLvl w:val="3"/>
        <w:rPr>
          <w:rFonts w:ascii="inherit" w:eastAsia="Times New Roman" w:hAnsi="inherit" w:cs="Times New Roman"/>
          <w:b/>
          <w:bCs/>
          <w:color w:val="8992A3"/>
          <w:sz w:val="24"/>
          <w:szCs w:val="24"/>
          <w:lang w:eastAsia="tr-TR"/>
        </w:rPr>
      </w:pPr>
      <w:r w:rsidRPr="006C6AEF">
        <w:rPr>
          <w:rFonts w:ascii="inherit" w:eastAsia="Times New Roman" w:hAnsi="inherit" w:cs="Times New Roman"/>
          <w:b/>
          <w:bCs/>
          <w:color w:val="8992A3"/>
          <w:sz w:val="24"/>
          <w:szCs w:val="24"/>
          <w:lang w:eastAsia="tr-TR"/>
        </w:rPr>
        <w:t>THYAO GÜNLÜK FİYAT</w:t>
      </w:r>
    </w:p>
    <w:p w:rsidR="006C6AEF" w:rsidRPr="006C6AEF" w:rsidRDefault="006C6AEF" w:rsidP="006C6AEF">
      <w:pPr>
        <w:spacing w:after="0" w:line="240" w:lineRule="auto"/>
        <w:textAlignment w:val="baseline"/>
        <w:rPr>
          <w:rFonts w:ascii="inherit" w:eastAsia="Times New Roman" w:hAnsi="inherit" w:cs="Times New Roman"/>
          <w:color w:val="8992A3"/>
          <w:sz w:val="21"/>
          <w:szCs w:val="21"/>
          <w:lang w:eastAsia="tr-TR"/>
        </w:rPr>
      </w:pPr>
      <w:r w:rsidRPr="006C6AEF">
        <w:rPr>
          <w:rFonts w:ascii="inherit" w:eastAsia="Times New Roman" w:hAnsi="inherit" w:cs="Times New Roman"/>
          <w:color w:val="8992A3"/>
          <w:sz w:val="21"/>
          <w:szCs w:val="21"/>
          <w:lang w:eastAsia="tr-TR"/>
        </w:rPr>
        <w:t>GÜNLÜK EN DÜŞÜK</w:t>
      </w:r>
    </w:p>
    <w:p w:rsidR="006C6AEF" w:rsidRPr="006C6AEF" w:rsidRDefault="006C6AEF" w:rsidP="006C6AEF">
      <w:pPr>
        <w:spacing w:after="0" w:line="240" w:lineRule="auto"/>
        <w:textAlignment w:val="baseline"/>
        <w:rPr>
          <w:rFonts w:ascii="inherit" w:eastAsia="Times New Roman" w:hAnsi="inherit" w:cs="Times New Roman"/>
          <w:b/>
          <w:bCs/>
          <w:color w:val="12507C"/>
          <w:sz w:val="33"/>
          <w:szCs w:val="33"/>
          <w:lang w:eastAsia="tr-TR"/>
        </w:rPr>
      </w:pPr>
      <w:r w:rsidRPr="006C6AEF">
        <w:rPr>
          <w:rFonts w:ascii="inherit" w:eastAsia="Times New Roman" w:hAnsi="inherit" w:cs="Times New Roman"/>
          <w:b/>
          <w:bCs/>
          <w:color w:val="12507C"/>
          <w:sz w:val="33"/>
          <w:szCs w:val="33"/>
          <w:lang w:eastAsia="tr-TR"/>
        </w:rPr>
        <w:t>276.50</w:t>
      </w:r>
    </w:p>
    <w:p w:rsidR="006C6AEF" w:rsidRPr="006C6AEF" w:rsidRDefault="006C6AEF" w:rsidP="006C6AEF">
      <w:pPr>
        <w:spacing w:line="240" w:lineRule="auto"/>
        <w:jc w:val="right"/>
        <w:textAlignment w:val="baseline"/>
        <w:rPr>
          <w:rFonts w:ascii="Arial" w:eastAsia="Times New Roman" w:hAnsi="Arial" w:cs="Arial"/>
          <w:color w:val="8992A3"/>
          <w:spacing w:val="-1"/>
          <w:sz w:val="21"/>
          <w:szCs w:val="21"/>
          <w:lang w:eastAsia="tr-TR"/>
        </w:rPr>
      </w:pPr>
      <w:r w:rsidRPr="006C6AEF">
        <w:rPr>
          <w:rFonts w:ascii="Arial" w:eastAsia="Times New Roman" w:hAnsi="Arial" w:cs="Arial"/>
          <w:color w:val="8992A3"/>
          <w:spacing w:val="-1"/>
          <w:sz w:val="21"/>
          <w:szCs w:val="21"/>
          <w:lang w:eastAsia="tr-TR"/>
        </w:rPr>
        <w:t>GÜNLÜK EN YÜKSEK</w:t>
      </w:r>
    </w:p>
    <w:p w:rsidR="00376999" w:rsidRDefault="00376999"/>
    <w:sectPr w:rsidR="003769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24192"/>
    <w:multiLevelType w:val="multilevel"/>
    <w:tmpl w:val="8272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EC724E"/>
    <w:multiLevelType w:val="multilevel"/>
    <w:tmpl w:val="EE32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AEF"/>
    <w:rsid w:val="00376999"/>
    <w:rsid w:val="006C6A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C64BD-DAD4-4B65-9B38-DEF202FD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6C6A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6C6AE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6C6AE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6C6AEF"/>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C6AEF"/>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6C6AEF"/>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6C6AEF"/>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6C6AEF"/>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6C6AEF"/>
    <w:rPr>
      <w:color w:val="0000FF"/>
      <w:u w:val="single"/>
    </w:rPr>
  </w:style>
  <w:style w:type="paragraph" w:styleId="NormalWeb">
    <w:name w:val="Normal (Web)"/>
    <w:basedOn w:val="Normal"/>
    <w:uiPriority w:val="99"/>
    <w:semiHidden/>
    <w:unhideWhenUsed/>
    <w:rsid w:val="006C6AE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C6AEF"/>
    <w:rPr>
      <w:b/>
      <w:bCs/>
    </w:rPr>
  </w:style>
  <w:style w:type="character" w:styleId="Vurgu">
    <w:name w:val="Emphasis"/>
    <w:basedOn w:val="VarsaylanParagrafYazTipi"/>
    <w:uiPriority w:val="20"/>
    <w:qFormat/>
    <w:rsid w:val="006C6AEF"/>
    <w:rPr>
      <w:i/>
      <w:iCs/>
    </w:rPr>
  </w:style>
  <w:style w:type="paragraph" w:customStyle="1" w:styleId="instrumentnamecontent">
    <w:name w:val="instrumentnamecontent"/>
    <w:basedOn w:val="Normal"/>
    <w:rsid w:val="006C6AE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instrumentsaleprice">
    <w:name w:val="instrumentsaleprice"/>
    <w:basedOn w:val="VarsaylanParagrafYazTipi"/>
    <w:rsid w:val="006C6AEF"/>
  </w:style>
  <w:style w:type="character" w:customStyle="1" w:styleId="dailychangepercentage">
    <w:name w:val="dailychangepercentage"/>
    <w:basedOn w:val="VarsaylanParagrafYazTipi"/>
    <w:rsid w:val="006C6AEF"/>
  </w:style>
  <w:style w:type="character" w:customStyle="1" w:styleId="marketactiontitle">
    <w:name w:val="marketactiontitle"/>
    <w:basedOn w:val="VarsaylanParagrafYazTipi"/>
    <w:rsid w:val="006C6AEF"/>
  </w:style>
  <w:style w:type="character" w:customStyle="1" w:styleId="marketactionprice">
    <w:name w:val="marketactionprice"/>
    <w:basedOn w:val="VarsaylanParagrafYazTipi"/>
    <w:rsid w:val="006C6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657903">
      <w:bodyDiv w:val="1"/>
      <w:marLeft w:val="0"/>
      <w:marRight w:val="0"/>
      <w:marTop w:val="0"/>
      <w:marBottom w:val="0"/>
      <w:divBdr>
        <w:top w:val="none" w:sz="0" w:space="0" w:color="auto"/>
        <w:left w:val="none" w:sz="0" w:space="0" w:color="auto"/>
        <w:bottom w:val="none" w:sz="0" w:space="0" w:color="auto"/>
        <w:right w:val="none" w:sz="0" w:space="0" w:color="auto"/>
      </w:divBdr>
      <w:divsChild>
        <w:div w:id="980042882">
          <w:marLeft w:val="0"/>
          <w:marRight w:val="0"/>
          <w:marTop w:val="0"/>
          <w:marBottom w:val="300"/>
          <w:divBdr>
            <w:top w:val="single" w:sz="6" w:space="19" w:color="E4E9F2"/>
            <w:left w:val="none" w:sz="0" w:space="26" w:color="auto"/>
            <w:bottom w:val="single" w:sz="6" w:space="19" w:color="E4E9F2"/>
            <w:right w:val="none" w:sz="0" w:space="26" w:color="auto"/>
          </w:divBdr>
          <w:divsChild>
            <w:div w:id="1503007183">
              <w:marLeft w:val="0"/>
              <w:marRight w:val="0"/>
              <w:marTop w:val="0"/>
              <w:marBottom w:val="0"/>
              <w:divBdr>
                <w:top w:val="none" w:sz="0" w:space="0" w:color="auto"/>
                <w:left w:val="none" w:sz="0" w:space="0" w:color="auto"/>
                <w:bottom w:val="none" w:sz="0" w:space="0" w:color="auto"/>
                <w:right w:val="none" w:sz="0" w:space="0" w:color="auto"/>
              </w:divBdr>
              <w:divsChild>
                <w:div w:id="2107067166">
                  <w:marLeft w:val="0"/>
                  <w:marRight w:val="0"/>
                  <w:marTop w:val="0"/>
                  <w:marBottom w:val="0"/>
                  <w:divBdr>
                    <w:top w:val="none" w:sz="0" w:space="0" w:color="auto"/>
                    <w:left w:val="none" w:sz="0" w:space="0" w:color="auto"/>
                    <w:bottom w:val="none" w:sz="0" w:space="0" w:color="auto"/>
                    <w:right w:val="none" w:sz="0" w:space="0" w:color="auto"/>
                  </w:divBdr>
                  <w:divsChild>
                    <w:div w:id="17852233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92767811">
          <w:marLeft w:val="0"/>
          <w:marRight w:val="0"/>
          <w:marTop w:val="0"/>
          <w:marBottom w:val="0"/>
          <w:divBdr>
            <w:top w:val="none" w:sz="0" w:space="0" w:color="auto"/>
            <w:left w:val="none" w:sz="0" w:space="0" w:color="auto"/>
            <w:bottom w:val="none" w:sz="0" w:space="0" w:color="auto"/>
            <w:right w:val="none" w:sz="0" w:space="0" w:color="auto"/>
          </w:divBdr>
          <w:divsChild>
            <w:div w:id="626355961">
              <w:marLeft w:val="0"/>
              <w:marRight w:val="0"/>
              <w:marTop w:val="0"/>
              <w:marBottom w:val="0"/>
              <w:divBdr>
                <w:top w:val="none" w:sz="0" w:space="0" w:color="auto"/>
                <w:left w:val="none" w:sz="0" w:space="0" w:color="auto"/>
                <w:bottom w:val="none" w:sz="0" w:space="0" w:color="auto"/>
                <w:right w:val="none" w:sz="0" w:space="0" w:color="auto"/>
              </w:divBdr>
              <w:divsChild>
                <w:div w:id="663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90017">
          <w:marLeft w:val="0"/>
          <w:marRight w:val="0"/>
          <w:marTop w:val="0"/>
          <w:marBottom w:val="0"/>
          <w:divBdr>
            <w:top w:val="none" w:sz="0" w:space="0" w:color="auto"/>
            <w:left w:val="none" w:sz="0" w:space="0" w:color="auto"/>
            <w:bottom w:val="none" w:sz="0" w:space="0" w:color="auto"/>
            <w:right w:val="none" w:sz="0" w:space="0" w:color="auto"/>
          </w:divBdr>
          <w:divsChild>
            <w:div w:id="1339844163">
              <w:marLeft w:val="0"/>
              <w:marRight w:val="0"/>
              <w:marTop w:val="0"/>
              <w:marBottom w:val="0"/>
              <w:divBdr>
                <w:top w:val="none" w:sz="0" w:space="0" w:color="auto"/>
                <w:left w:val="none" w:sz="0" w:space="0" w:color="auto"/>
                <w:bottom w:val="none" w:sz="0" w:space="0" w:color="auto"/>
                <w:right w:val="none" w:sz="0" w:space="0" w:color="auto"/>
              </w:divBdr>
              <w:divsChild>
                <w:div w:id="506097339">
                  <w:marLeft w:val="0"/>
                  <w:marRight w:val="0"/>
                  <w:marTop w:val="0"/>
                  <w:marBottom w:val="0"/>
                  <w:divBdr>
                    <w:top w:val="single" w:sz="6" w:space="15" w:color="E4E9F2"/>
                    <w:left w:val="none" w:sz="0" w:space="15" w:color="auto"/>
                    <w:bottom w:val="none" w:sz="0" w:space="15" w:color="auto"/>
                    <w:right w:val="none" w:sz="0" w:space="15" w:color="auto"/>
                  </w:divBdr>
                </w:div>
                <w:div w:id="1258441642">
                  <w:marLeft w:val="0"/>
                  <w:marRight w:val="0"/>
                  <w:marTop w:val="0"/>
                  <w:marBottom w:val="0"/>
                  <w:divBdr>
                    <w:top w:val="single" w:sz="6" w:space="0" w:color="E4E9F2"/>
                    <w:left w:val="none" w:sz="0" w:space="0" w:color="auto"/>
                    <w:bottom w:val="none" w:sz="0" w:space="0" w:color="auto"/>
                    <w:right w:val="none" w:sz="0" w:space="0" w:color="auto"/>
                  </w:divBdr>
                  <w:divsChild>
                    <w:div w:id="188876201">
                      <w:marLeft w:val="0"/>
                      <w:marRight w:val="0"/>
                      <w:marTop w:val="450"/>
                      <w:marBottom w:val="450"/>
                      <w:divBdr>
                        <w:top w:val="none" w:sz="0" w:space="0" w:color="auto"/>
                        <w:left w:val="none" w:sz="0" w:space="0" w:color="auto"/>
                        <w:bottom w:val="none" w:sz="0" w:space="0" w:color="auto"/>
                        <w:right w:val="none" w:sz="0" w:space="0" w:color="auto"/>
                      </w:divBdr>
                      <w:divsChild>
                        <w:div w:id="394204332">
                          <w:marLeft w:val="0"/>
                          <w:marRight w:val="0"/>
                          <w:marTop w:val="0"/>
                          <w:marBottom w:val="0"/>
                          <w:divBdr>
                            <w:top w:val="none" w:sz="0" w:space="0" w:color="auto"/>
                            <w:left w:val="none" w:sz="0" w:space="0" w:color="auto"/>
                            <w:bottom w:val="none" w:sz="0" w:space="0" w:color="auto"/>
                            <w:right w:val="none" w:sz="0" w:space="0" w:color="auto"/>
                          </w:divBdr>
                        </w:div>
                        <w:div w:id="224879827">
                          <w:marLeft w:val="0"/>
                          <w:marRight w:val="0"/>
                          <w:marTop w:val="100"/>
                          <w:marBottom w:val="100"/>
                          <w:divBdr>
                            <w:top w:val="none" w:sz="0" w:space="0" w:color="auto"/>
                            <w:left w:val="none" w:sz="0" w:space="0" w:color="auto"/>
                            <w:bottom w:val="none" w:sz="0" w:space="0" w:color="auto"/>
                            <w:right w:val="none" w:sz="0" w:space="0" w:color="auto"/>
                          </w:divBdr>
                        </w:div>
                      </w:divsChild>
                    </w:div>
                    <w:div w:id="2126580885">
                      <w:marLeft w:val="0"/>
                      <w:marRight w:val="0"/>
                      <w:marTop w:val="0"/>
                      <w:marBottom w:val="0"/>
                      <w:divBdr>
                        <w:top w:val="single" w:sz="6" w:space="0" w:color="E4E9F2"/>
                        <w:left w:val="none" w:sz="0" w:space="0" w:color="auto"/>
                        <w:bottom w:val="single" w:sz="6" w:space="0" w:color="E4E9F2"/>
                        <w:right w:val="none" w:sz="0" w:space="0" w:color="auto"/>
                      </w:divBdr>
                      <w:divsChild>
                        <w:div w:id="1241794585">
                          <w:marLeft w:val="0"/>
                          <w:marRight w:val="0"/>
                          <w:marTop w:val="0"/>
                          <w:marBottom w:val="0"/>
                          <w:divBdr>
                            <w:top w:val="none" w:sz="0" w:space="0" w:color="auto"/>
                            <w:left w:val="none" w:sz="0" w:space="0" w:color="auto"/>
                            <w:bottom w:val="none" w:sz="0" w:space="0" w:color="auto"/>
                            <w:right w:val="none" w:sz="0" w:space="0" w:color="auto"/>
                          </w:divBdr>
                          <w:divsChild>
                            <w:div w:id="2075346007">
                              <w:marLeft w:val="0"/>
                              <w:marRight w:val="0"/>
                              <w:marTop w:val="100"/>
                              <w:marBottom w:val="300"/>
                              <w:divBdr>
                                <w:top w:val="none" w:sz="0" w:space="0" w:color="auto"/>
                                <w:left w:val="none" w:sz="0" w:space="0" w:color="auto"/>
                                <w:bottom w:val="none" w:sz="0" w:space="0" w:color="auto"/>
                                <w:right w:val="none" w:sz="0" w:space="0" w:color="auto"/>
                              </w:divBdr>
                              <w:divsChild>
                                <w:div w:id="944078420">
                                  <w:marLeft w:val="0"/>
                                  <w:marRight w:val="0"/>
                                  <w:marTop w:val="0"/>
                                  <w:marBottom w:val="0"/>
                                  <w:divBdr>
                                    <w:top w:val="none" w:sz="0" w:space="0" w:color="auto"/>
                                    <w:left w:val="none" w:sz="0" w:space="0" w:color="auto"/>
                                    <w:bottom w:val="none" w:sz="0" w:space="0" w:color="auto"/>
                                    <w:right w:val="none" w:sz="0" w:space="0" w:color="auto"/>
                                  </w:divBdr>
                                  <w:divsChild>
                                    <w:div w:id="1598826744">
                                      <w:marLeft w:val="0"/>
                                      <w:marRight w:val="0"/>
                                      <w:marTop w:val="0"/>
                                      <w:marBottom w:val="0"/>
                                      <w:divBdr>
                                        <w:top w:val="none" w:sz="0" w:space="0" w:color="auto"/>
                                        <w:left w:val="none" w:sz="0" w:space="0" w:color="auto"/>
                                        <w:bottom w:val="none" w:sz="0" w:space="0" w:color="auto"/>
                                        <w:right w:val="none" w:sz="0" w:space="0" w:color="auto"/>
                                      </w:divBdr>
                                      <w:divsChild>
                                        <w:div w:id="496505652">
                                          <w:marLeft w:val="0"/>
                                          <w:marRight w:val="0"/>
                                          <w:marTop w:val="0"/>
                                          <w:marBottom w:val="0"/>
                                          <w:divBdr>
                                            <w:top w:val="none" w:sz="0" w:space="0" w:color="auto"/>
                                            <w:left w:val="none" w:sz="0" w:space="0" w:color="auto"/>
                                            <w:bottom w:val="none" w:sz="0" w:space="0" w:color="auto"/>
                                            <w:right w:val="none" w:sz="0" w:space="0" w:color="auto"/>
                                          </w:divBdr>
                                        </w:div>
                                        <w:div w:id="91543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cmyatirim.com.tr/borsa/hisse/thyao-hisse-turk-hava-yollari-a-o" TargetMode="External"/><Relationship Id="rId13"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gcmyatirim.com.tr/arastirma-analiz/borsa-model-portfo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hyperlink" Target="https://www.gcmyatirim.com.tr/yazarlar/gcm-yatirim"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gcmyatirim.com.tr/borsa/hisse/pgsus-hisse-pegasus-hava-tasimaciligi-a-s"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1112</Words>
  <Characters>6340</Characters>
  <Application>Microsoft Office Word</Application>
  <DocSecurity>0</DocSecurity>
  <Lines>52</Lines>
  <Paragraphs>14</Paragraphs>
  <ScaleCrop>false</ScaleCrop>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2024-11-22T14:43:00Z</dcterms:created>
  <dcterms:modified xsi:type="dcterms:W3CDTF">2024-11-22T14:43:00Z</dcterms:modified>
</cp:coreProperties>
</file>