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91" w:rsidRPr="00A64291" w:rsidRDefault="00A64291" w:rsidP="00A64291">
      <w:pPr>
        <w:pStyle w:val="NormalWeb"/>
        <w:rPr>
          <w:b/>
        </w:rPr>
      </w:pPr>
      <w:bookmarkStart w:id="0" w:name="_GoBack"/>
      <w:r w:rsidRPr="00A64291">
        <w:rPr>
          <w:b/>
        </w:rPr>
        <w:t xml:space="preserve">GCM Yatırım, TOASO – Tofaş için hedef fiyatını 460,0 TL olarak belirledi. </w:t>
      </w:r>
    </w:p>
    <w:bookmarkEnd w:id="0"/>
    <w:p w:rsidR="00A64291" w:rsidRDefault="00A64291" w:rsidP="00A64291">
      <w:pPr>
        <w:pStyle w:val="NormalWeb"/>
      </w:pPr>
      <w:r>
        <w:t xml:space="preserve">Tofaş’ın finansallarında güçlü büyüme görülürken satış gelirleri yıllık </w:t>
      </w:r>
      <w:proofErr w:type="gramStart"/>
      <w:r>
        <w:t>bazda</w:t>
      </w:r>
      <w:proofErr w:type="gramEnd"/>
      <w:r>
        <w:t xml:space="preserve"> %111 artarak 332,25 milyar TL’ye, net dönem kârı ise %22 artışla 8,35 milyar TL’ye yükselmiştir. Şirketin çeyreklik satışları son </w:t>
      </w:r>
      <w:proofErr w:type="gramStart"/>
      <w:r>
        <w:t>üç çeyrektir</w:t>
      </w:r>
      <w:proofErr w:type="gramEnd"/>
      <w:r>
        <w:t xml:space="preserve"> artış trendinde olup iç pazardaki lider konumunu korumaktadır. Türkiye pazarı, </w:t>
      </w:r>
      <w:proofErr w:type="spellStart"/>
      <w:r>
        <w:t>Stellantis</w:t>
      </w:r>
      <w:proofErr w:type="spellEnd"/>
      <w:r>
        <w:t xml:space="preserve"> için Avrupa Birliği içinde en büyük dördüncü pazar konumunda bulunurken, birleşmenin ilk dönemlerdeki negatif etkilerinin yerini kademeli olarak pozitif </w:t>
      </w:r>
      <w:proofErr w:type="gramStart"/>
      <w:r>
        <w:t>sinerjiye</w:t>
      </w:r>
      <w:proofErr w:type="gramEnd"/>
      <w:r>
        <w:t xml:space="preserve"> bıraktığı değerlendirilmektedir.</w:t>
      </w:r>
    </w:p>
    <w:p w:rsidR="00A64291" w:rsidRDefault="00A64291" w:rsidP="00A64291">
      <w:pPr>
        <w:pStyle w:val="NormalWeb"/>
      </w:pPr>
      <w:r>
        <w:rPr>
          <w:noProof/>
        </w:rPr>
        <w:drawing>
          <wp:inline distT="0" distB="0" distL="0" distR="0">
            <wp:extent cx="5760720" cy="41998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so-resim-1_1770721069.jpg"/>
                    <pic:cNvPicPr/>
                  </pic:nvPicPr>
                  <pic:blipFill>
                    <a:blip r:embed="rId5">
                      <a:extLst>
                        <a:ext uri="{28A0092B-C50C-407E-A947-70E740481C1C}">
                          <a14:useLocalDpi xmlns:a14="http://schemas.microsoft.com/office/drawing/2010/main" val="0"/>
                        </a:ext>
                      </a:extLst>
                    </a:blip>
                    <a:stretch>
                      <a:fillRect/>
                    </a:stretch>
                  </pic:blipFill>
                  <pic:spPr>
                    <a:xfrm>
                      <a:off x="0" y="0"/>
                      <a:ext cx="5760720" cy="4199890"/>
                    </a:xfrm>
                    <a:prstGeom prst="rect">
                      <a:avLst/>
                    </a:prstGeom>
                  </pic:spPr>
                </pic:pic>
              </a:graphicData>
            </a:graphic>
          </wp:inline>
        </w:drawing>
      </w:r>
    </w:p>
    <w:p w:rsidR="00A64291" w:rsidRDefault="00A64291" w:rsidP="00A64291">
      <w:pPr>
        <w:pStyle w:val="NormalWeb"/>
      </w:pPr>
      <w:r>
        <w:t xml:space="preserve">4Ç25 finansallarına göre şirketin toplam aktifleri yaklaşık 120 milyar TL’den 173,5 milyar TL’ye yükselmiştir. Uzun vadeli yatırım amaçlı finansal borçlarda artış görülürken kısa vadeli mali borçlardaki artış daha sınırlı kalmış, ticari borçlar ise büyümeye paralel yükselmiştir. Net satışlar çeyreklik </w:t>
      </w:r>
      <w:proofErr w:type="gramStart"/>
      <w:r>
        <w:t>bazda</w:t>
      </w:r>
      <w:proofErr w:type="gramEnd"/>
      <w:r>
        <w:t xml:space="preserve"> %49, yıllık bazda ise %214 artarken satış maliyetleri benzer seyretmiş, faaliyet giderlerinin görece sınırlı artışı FAVÖK ve kârlılığı desteklemiştir. FAVÖK </w:t>
      </w:r>
      <w:proofErr w:type="gramStart"/>
      <w:r>
        <w:t>marjı</w:t>
      </w:r>
      <w:proofErr w:type="gramEnd"/>
      <w:r>
        <w:t xml:space="preserve"> ve net kâr marjındaki yükseliş </w:t>
      </w:r>
      <w:proofErr w:type="spellStart"/>
      <w:r>
        <w:t>operasyonel</w:t>
      </w:r>
      <w:proofErr w:type="spellEnd"/>
      <w:r>
        <w:t xml:space="preserve"> verimliliğin güçlendiğine işaret etmektedir.</w:t>
      </w:r>
    </w:p>
    <w:p w:rsidR="00A64291" w:rsidRDefault="00A64291" w:rsidP="00A64291">
      <w:pPr>
        <w:pStyle w:val="NormalWeb"/>
      </w:pPr>
      <w:r>
        <w:t>İndirgenmiş Nakit Akımları (İNA) yöntemine göre TOASO için hesaplanan hedef fiyat 460 TL’dir.</w:t>
      </w:r>
    </w:p>
    <w:p w:rsidR="00A97621" w:rsidRDefault="00A97621"/>
    <w:sectPr w:rsidR="00A97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799"/>
    <w:rsid w:val="007C3799"/>
    <w:rsid w:val="00A64291"/>
    <w:rsid w:val="00A976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642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642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4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642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6429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4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2026-03-07T22:12:00Z</dcterms:created>
  <dcterms:modified xsi:type="dcterms:W3CDTF">2026-03-07T22:14:00Z</dcterms:modified>
</cp:coreProperties>
</file>