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9BB" w:rsidRPr="00805DA5" w:rsidRDefault="000B49BB" w:rsidP="000B49BB">
      <w:pPr>
        <w:spacing w:after="75" w:line="360" w:lineRule="atLeast"/>
        <w:textAlignment w:val="baseline"/>
        <w:outlineLvl w:val="0"/>
        <w:rPr>
          <w:rFonts w:ascii="inherit" w:eastAsia="Times New Roman" w:hAnsi="inherit" w:cs="Times New Roman"/>
          <w:b/>
          <w:bCs/>
          <w:kern w:val="36"/>
          <w:sz w:val="33"/>
          <w:szCs w:val="33"/>
          <w:lang w:eastAsia="tr-TR"/>
        </w:rPr>
      </w:pPr>
      <w:r w:rsidRPr="00805DA5">
        <w:rPr>
          <w:rFonts w:ascii="inherit" w:eastAsia="Times New Roman" w:hAnsi="inherit" w:cs="Times New Roman"/>
          <w:b/>
          <w:bCs/>
          <w:kern w:val="36"/>
          <w:sz w:val="33"/>
          <w:szCs w:val="33"/>
          <w:lang w:eastAsia="tr-TR"/>
        </w:rPr>
        <w:t>Akbank (AKBNK) 2025 3. Çeyrek Bilanço Analizi</w:t>
      </w:r>
    </w:p>
    <w:p w:rsidR="000B49BB" w:rsidRPr="000B49BB" w:rsidRDefault="000B49BB" w:rsidP="000B49BB">
      <w:pPr>
        <w:spacing w:line="330" w:lineRule="atLeast"/>
        <w:textAlignment w:val="baseline"/>
        <w:rPr>
          <w:rFonts w:ascii="inherit" w:eastAsia="Times New Roman" w:hAnsi="inherit" w:cs="Times New Roman"/>
          <w:color w:val="5F676F"/>
          <w:sz w:val="24"/>
          <w:szCs w:val="24"/>
          <w:lang w:eastAsia="tr-TR"/>
        </w:rPr>
      </w:pPr>
      <w:r w:rsidRPr="000B49BB">
        <w:rPr>
          <w:rFonts w:ascii="inherit" w:eastAsia="Times New Roman" w:hAnsi="inherit" w:cs="Times New Roman"/>
          <w:color w:val="5F676F"/>
          <w:sz w:val="24"/>
          <w:szCs w:val="24"/>
          <w:bdr w:val="none" w:sz="0" w:space="0" w:color="auto" w:frame="1"/>
          <w:lang w:eastAsia="tr-TR"/>
        </w:rPr>
        <w:t>24 Ekim 2025</w:t>
      </w:r>
      <w:r w:rsidR="00805DA5" w:rsidRPr="000B49BB">
        <w:rPr>
          <w:rFonts w:ascii="inherit" w:eastAsia="Times New Roman" w:hAnsi="inherit" w:cs="Times New Roman"/>
          <w:color w:val="5F676F"/>
          <w:sz w:val="24"/>
          <w:szCs w:val="24"/>
          <w:bdr w:val="none" w:sz="0" w:space="0" w:color="auto" w:frame="1"/>
          <w:lang w:eastAsia="tr-TR"/>
        </w:rPr>
        <w:t xml:space="preserve"> </w:t>
      </w:r>
      <w:r w:rsidRPr="000B49BB">
        <w:rPr>
          <w:rFonts w:ascii="inherit" w:eastAsia="Times New Roman" w:hAnsi="inherit" w:cs="Times New Roman"/>
          <w:color w:val="5F676F"/>
          <w:sz w:val="24"/>
          <w:szCs w:val="24"/>
          <w:bdr w:val="none" w:sz="0" w:space="0" w:color="auto" w:frame="1"/>
          <w:lang w:eastAsia="tr-TR"/>
        </w:rPr>
        <w:t>-</w:t>
      </w:r>
      <w:r w:rsidR="00805DA5">
        <w:rPr>
          <w:rFonts w:ascii="inherit" w:eastAsia="Times New Roman" w:hAnsi="inherit" w:cs="Times New Roman"/>
          <w:color w:val="5F676F"/>
          <w:sz w:val="24"/>
          <w:szCs w:val="24"/>
          <w:bdr w:val="none" w:sz="0" w:space="0" w:color="auto" w:frame="1"/>
          <w:lang w:eastAsia="tr-TR"/>
        </w:rPr>
        <w:t>GCM</w:t>
      </w:r>
      <w:r w:rsidRPr="000B49BB">
        <w:rPr>
          <w:rFonts w:ascii="inherit" w:eastAsia="Times New Roman" w:hAnsi="inherit" w:cs="Times New Roman"/>
          <w:color w:val="5F676F"/>
          <w:sz w:val="24"/>
          <w:szCs w:val="24"/>
          <w:bdr w:val="none" w:sz="0" w:space="0" w:color="auto" w:frame="1"/>
          <w:lang w:eastAsia="tr-TR"/>
        </w:rPr>
        <w:t xml:space="preserve"> Araştırma &amp; </w:t>
      </w:r>
      <w:proofErr w:type="spellStart"/>
      <w:r w:rsidRPr="000B49BB">
        <w:rPr>
          <w:rFonts w:ascii="inherit" w:eastAsia="Times New Roman" w:hAnsi="inherit" w:cs="Times New Roman"/>
          <w:color w:val="5F676F"/>
          <w:sz w:val="24"/>
          <w:szCs w:val="24"/>
          <w:bdr w:val="none" w:sz="0" w:space="0" w:color="auto" w:frame="1"/>
          <w:lang w:eastAsia="tr-TR"/>
        </w:rPr>
        <w:t>AnalizVİOP&amp;Borsa</w:t>
      </w:r>
      <w:proofErr w:type="spellEnd"/>
    </w:p>
    <w:p w:rsidR="000B49BB" w:rsidRDefault="00805DA5" w:rsidP="00805DA5">
      <w:pPr>
        <w:spacing w:after="0" w:line="300" w:lineRule="atLeast"/>
        <w:ind w:right="150"/>
        <w:textAlignment w:val="baseline"/>
        <w:rPr>
          <w:rFonts w:ascii="inherit" w:eastAsia="Times New Roman" w:hAnsi="inherit" w:cs="Arial"/>
          <w:b/>
          <w:bCs/>
          <w:color w:val="000000"/>
          <w:spacing w:val="-1"/>
          <w:sz w:val="24"/>
          <w:szCs w:val="24"/>
          <w:bdr w:val="none" w:sz="0" w:space="0" w:color="auto" w:frame="1"/>
          <w:lang w:eastAsia="tr-TR"/>
        </w:rPr>
      </w:pPr>
      <w:r>
        <w:rPr>
          <w:rFonts w:ascii="inherit" w:eastAsia="Times New Roman" w:hAnsi="inherit" w:cs="Arial"/>
          <w:b/>
          <w:bCs/>
          <w:color w:val="000000"/>
          <w:spacing w:val="-1"/>
          <w:sz w:val="24"/>
          <w:szCs w:val="24"/>
          <w:bdr w:val="none" w:sz="0" w:space="0" w:color="auto" w:frame="1"/>
          <w:lang w:eastAsia="tr-TR"/>
        </w:rPr>
        <w:t xml:space="preserve"> AKBANK </w:t>
      </w:r>
      <w:r w:rsidR="000B49BB" w:rsidRPr="000B49BB">
        <w:rPr>
          <w:rFonts w:ascii="inherit" w:eastAsia="Times New Roman" w:hAnsi="inherit" w:cs="Arial"/>
          <w:b/>
          <w:bCs/>
          <w:color w:val="000000"/>
          <w:spacing w:val="-1"/>
          <w:sz w:val="24"/>
          <w:szCs w:val="24"/>
          <w:bdr w:val="none" w:sz="0" w:space="0" w:color="auto" w:frame="1"/>
          <w:lang w:eastAsia="tr-TR"/>
        </w:rPr>
        <w:t>Güçlü Kredi Büyümesi Ve Sağlam Pazar Payına Dayalı Mevduat Tabanı ile Performansını Sürdürüyor…</w:t>
      </w:r>
    </w:p>
    <w:p w:rsidR="00805DA5" w:rsidRPr="000B49BB" w:rsidRDefault="00805DA5" w:rsidP="00805DA5">
      <w:pPr>
        <w:spacing w:after="0" w:line="300" w:lineRule="atLeast"/>
        <w:ind w:right="150"/>
        <w:textAlignment w:val="baseline"/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</w:pPr>
    </w:p>
    <w:p w:rsidR="000B49BB" w:rsidRPr="000B49BB" w:rsidRDefault="000B49BB" w:rsidP="000B49BB">
      <w:pPr>
        <w:spacing w:after="0" w:line="300" w:lineRule="atLeast"/>
        <w:ind w:left="150" w:right="150"/>
        <w:textAlignment w:val="baseline"/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</w:pPr>
      <w:bookmarkStart w:id="0" w:name="_GoBack"/>
      <w:r w:rsidRPr="000B49BB">
        <w:rPr>
          <w:rFonts w:ascii="inherit" w:eastAsia="Times New Roman" w:hAnsi="inherit" w:cs="Arial"/>
          <w:b/>
          <w:bCs/>
          <w:color w:val="000000"/>
          <w:spacing w:val="-1"/>
          <w:sz w:val="24"/>
          <w:szCs w:val="24"/>
          <w:bdr w:val="none" w:sz="0" w:space="0" w:color="auto" w:frame="1"/>
          <w:lang w:eastAsia="tr-TR"/>
        </w:rPr>
        <w:t xml:space="preserve">Güçlü kredi büyümesi ve Pazar payı </w:t>
      </w:r>
      <w:proofErr w:type="spellStart"/>
      <w:r w:rsidRPr="000B49BB">
        <w:rPr>
          <w:rFonts w:ascii="inherit" w:eastAsia="Times New Roman" w:hAnsi="inherit" w:cs="Arial"/>
          <w:b/>
          <w:bCs/>
          <w:color w:val="000000"/>
          <w:spacing w:val="-1"/>
          <w:sz w:val="24"/>
          <w:szCs w:val="24"/>
          <w:bdr w:val="none" w:sz="0" w:space="0" w:color="auto" w:frame="1"/>
          <w:lang w:eastAsia="tr-TR"/>
        </w:rPr>
        <w:t>kazanımlı</w:t>
      </w:r>
      <w:proofErr w:type="spellEnd"/>
      <w:r w:rsidRPr="000B49BB">
        <w:rPr>
          <w:rFonts w:ascii="inherit" w:eastAsia="Times New Roman" w:hAnsi="inherit" w:cs="Arial"/>
          <w:b/>
          <w:bCs/>
          <w:color w:val="000000"/>
          <w:spacing w:val="-1"/>
          <w:sz w:val="24"/>
          <w:szCs w:val="24"/>
          <w:bdr w:val="none" w:sz="0" w:space="0" w:color="auto" w:frame="1"/>
          <w:lang w:eastAsia="tr-TR"/>
        </w:rPr>
        <w:t xml:space="preserve"> sağlam mevduat tabanı büyümeyi destekledi</w:t>
      </w:r>
      <w:proofErr w:type="gramStart"/>
      <w:r w:rsidRPr="000B49BB">
        <w:rPr>
          <w:rFonts w:ascii="inherit" w:eastAsia="Times New Roman" w:hAnsi="inherit" w:cs="Arial"/>
          <w:b/>
          <w:bCs/>
          <w:color w:val="000000"/>
          <w:spacing w:val="-1"/>
          <w:sz w:val="24"/>
          <w:szCs w:val="24"/>
          <w:bdr w:val="none" w:sz="0" w:space="0" w:color="auto" w:frame="1"/>
          <w:lang w:eastAsia="tr-TR"/>
        </w:rPr>
        <w:t>..</w:t>
      </w:r>
      <w:proofErr w:type="gramEnd"/>
      <w:r w:rsidRPr="000B49BB">
        <w:rPr>
          <w:rFonts w:ascii="inherit" w:eastAsia="Times New Roman" w:hAnsi="inherit" w:cs="Arial"/>
          <w:b/>
          <w:bCs/>
          <w:color w:val="000000"/>
          <w:spacing w:val="-1"/>
          <w:sz w:val="24"/>
          <w:szCs w:val="24"/>
          <w:bdr w:val="none" w:sz="0" w:space="0" w:color="auto" w:frame="1"/>
          <w:lang w:eastAsia="tr-TR"/>
        </w:rPr>
        <w:t xml:space="preserve"> Net Faiz gelirindeki toparlanma ve faaliyet giderlerindeki görece azalma ve güçlü sermaye yeterliliği </w:t>
      </w:r>
      <w:proofErr w:type="spellStart"/>
      <w:r w:rsidRPr="000B49BB">
        <w:rPr>
          <w:rFonts w:ascii="inherit" w:eastAsia="Times New Roman" w:hAnsi="inherit" w:cs="Arial"/>
          <w:b/>
          <w:bCs/>
          <w:color w:val="000000"/>
          <w:spacing w:val="-1"/>
          <w:sz w:val="24"/>
          <w:szCs w:val="24"/>
          <w:bdr w:val="none" w:sz="0" w:space="0" w:color="auto" w:frame="1"/>
          <w:lang w:eastAsia="tr-TR"/>
        </w:rPr>
        <w:t>rasyosu</w:t>
      </w:r>
      <w:proofErr w:type="spellEnd"/>
      <w:r w:rsidRPr="000B49BB">
        <w:rPr>
          <w:rFonts w:ascii="inherit" w:eastAsia="Times New Roman" w:hAnsi="inherit" w:cs="Arial"/>
          <w:b/>
          <w:bCs/>
          <w:color w:val="000000"/>
          <w:spacing w:val="-1"/>
          <w:sz w:val="24"/>
          <w:szCs w:val="24"/>
          <w:bdr w:val="none" w:sz="0" w:space="0" w:color="auto" w:frame="1"/>
          <w:lang w:eastAsia="tr-TR"/>
        </w:rPr>
        <w:t xml:space="preserve"> </w:t>
      </w:r>
      <w:proofErr w:type="spellStart"/>
      <w:r w:rsidRPr="000B49BB">
        <w:rPr>
          <w:rFonts w:ascii="inherit" w:eastAsia="Times New Roman" w:hAnsi="inherit" w:cs="Arial"/>
          <w:b/>
          <w:bCs/>
          <w:color w:val="000000"/>
          <w:spacing w:val="-1"/>
          <w:sz w:val="24"/>
          <w:szCs w:val="24"/>
          <w:bdr w:val="none" w:sz="0" w:space="0" w:color="auto" w:frame="1"/>
          <w:lang w:eastAsia="tr-TR"/>
        </w:rPr>
        <w:t>AKBANK’taki</w:t>
      </w:r>
      <w:proofErr w:type="spellEnd"/>
      <w:r w:rsidRPr="000B49BB">
        <w:rPr>
          <w:rFonts w:ascii="inherit" w:eastAsia="Times New Roman" w:hAnsi="inherit" w:cs="Arial"/>
          <w:b/>
          <w:bCs/>
          <w:color w:val="000000"/>
          <w:spacing w:val="-1"/>
          <w:sz w:val="24"/>
          <w:szCs w:val="24"/>
          <w:bdr w:val="none" w:sz="0" w:space="0" w:color="auto" w:frame="1"/>
          <w:lang w:eastAsia="tr-TR"/>
        </w:rPr>
        <w:t xml:space="preserve"> öne çıkan gelişmeler olup hedef fiyatımızı koruyoruz.</w:t>
      </w:r>
    </w:p>
    <w:p w:rsidR="000B49BB" w:rsidRPr="000B49BB" w:rsidRDefault="000B49BB" w:rsidP="000B49BB">
      <w:pPr>
        <w:spacing w:after="0" w:line="300" w:lineRule="atLeast"/>
        <w:ind w:left="150" w:right="150"/>
        <w:textAlignment w:val="baseline"/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</w:pPr>
      <w:r w:rsidRPr="000B49BB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 xml:space="preserve">Dengelenme süreci linklerin tekrar bağlanması bankacılık karlılıklarını maalesef olumsuz etkilemiştir. Faiz indiriminin kesintiye uğraması parasal sıkılaştırma </w:t>
      </w:r>
      <w:proofErr w:type="gramStart"/>
      <w:r w:rsidRPr="000B49BB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>marj</w:t>
      </w:r>
      <w:proofErr w:type="gramEnd"/>
      <w:r w:rsidRPr="000B49BB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 xml:space="preserve"> genişlemesini ertelemişti önümüzdeki dönemde son gelen faiz indiriminin de etkisiyle enflasyon patikasının bir nebzede artacak olması faiz indirimi ihtimalinin devam etmesiyle faaliyet ortamının toparlanması takip edilmesi gereken önemli bir konudur. </w:t>
      </w:r>
      <w:r w:rsidRPr="000B49BB">
        <w:rPr>
          <w:rFonts w:ascii="inherit" w:eastAsia="Times New Roman" w:hAnsi="inherit" w:cs="Arial"/>
          <w:b/>
          <w:bCs/>
          <w:color w:val="000000"/>
          <w:spacing w:val="-1"/>
          <w:sz w:val="24"/>
          <w:szCs w:val="24"/>
          <w:bdr w:val="none" w:sz="0" w:space="0" w:color="auto" w:frame="1"/>
          <w:lang w:eastAsia="tr-TR"/>
        </w:rPr>
        <w:t xml:space="preserve">Bu noktada Bankacılık Sektörünün AKTİF KALİTESİ öne çıkmaktadır. Akbank’ın aktif kalitesinin ayrılan karşılıklarla güçlü görünümü devam etmekte olup ayrıca sektörde güçlü Sermaye Yeterliliği </w:t>
      </w:r>
      <w:proofErr w:type="spellStart"/>
      <w:r w:rsidRPr="000B49BB">
        <w:rPr>
          <w:rFonts w:ascii="inherit" w:eastAsia="Times New Roman" w:hAnsi="inherit" w:cs="Arial"/>
          <w:b/>
          <w:bCs/>
          <w:color w:val="000000"/>
          <w:spacing w:val="-1"/>
          <w:sz w:val="24"/>
          <w:szCs w:val="24"/>
          <w:bdr w:val="none" w:sz="0" w:space="0" w:color="auto" w:frame="1"/>
          <w:lang w:eastAsia="tr-TR"/>
        </w:rPr>
        <w:t>Rasyosu</w:t>
      </w:r>
      <w:proofErr w:type="spellEnd"/>
      <w:r w:rsidRPr="000B49BB">
        <w:rPr>
          <w:rFonts w:ascii="inherit" w:eastAsia="Times New Roman" w:hAnsi="inherit" w:cs="Arial"/>
          <w:b/>
          <w:bCs/>
          <w:color w:val="000000"/>
          <w:spacing w:val="-1"/>
          <w:sz w:val="24"/>
          <w:szCs w:val="24"/>
          <w:bdr w:val="none" w:sz="0" w:space="0" w:color="auto" w:frame="1"/>
          <w:lang w:eastAsia="tr-TR"/>
        </w:rPr>
        <w:t xml:space="preserve"> bunu desteklemektedir. Ayrıca gelirlerde Ücret ve Komisyon gelirlerinin karı destekliyor oluşu ile beraber yaklaşık </w:t>
      </w:r>
      <w:proofErr w:type="gramStart"/>
      <w:r w:rsidRPr="000B49BB">
        <w:rPr>
          <w:rFonts w:ascii="inherit" w:eastAsia="Times New Roman" w:hAnsi="inherit" w:cs="Arial"/>
          <w:b/>
          <w:bCs/>
          <w:color w:val="000000"/>
          <w:spacing w:val="-1"/>
          <w:sz w:val="24"/>
          <w:szCs w:val="24"/>
          <w:bdr w:val="none" w:sz="0" w:space="0" w:color="auto" w:frame="1"/>
          <w:lang w:eastAsia="tr-TR"/>
        </w:rPr>
        <w:t>yıl sonu</w:t>
      </w:r>
      <w:proofErr w:type="gramEnd"/>
      <w:r w:rsidRPr="000B49BB">
        <w:rPr>
          <w:rFonts w:ascii="inherit" w:eastAsia="Times New Roman" w:hAnsi="inherit" w:cs="Arial"/>
          <w:b/>
          <w:bCs/>
          <w:color w:val="000000"/>
          <w:spacing w:val="-1"/>
          <w:sz w:val="24"/>
          <w:szCs w:val="24"/>
          <w:bdr w:val="none" w:sz="0" w:space="0" w:color="auto" w:frame="1"/>
          <w:lang w:eastAsia="tr-TR"/>
        </w:rPr>
        <w:t xml:space="preserve"> kar beklentimiz 66,5 Milyar TL olup </w:t>
      </w:r>
      <w:proofErr w:type="spellStart"/>
      <w:r w:rsidRPr="000B49BB">
        <w:rPr>
          <w:rFonts w:ascii="inherit" w:eastAsia="Times New Roman" w:hAnsi="inherit" w:cs="Arial"/>
          <w:b/>
          <w:bCs/>
          <w:color w:val="000000"/>
          <w:spacing w:val="-1"/>
          <w:sz w:val="24"/>
          <w:szCs w:val="24"/>
          <w:bdr w:val="none" w:sz="0" w:space="0" w:color="auto" w:frame="1"/>
          <w:lang w:eastAsia="tr-TR"/>
        </w:rPr>
        <w:t>Özkaynakları</w:t>
      </w:r>
      <w:proofErr w:type="spellEnd"/>
      <w:r w:rsidRPr="000B49BB">
        <w:rPr>
          <w:rFonts w:ascii="inherit" w:eastAsia="Times New Roman" w:hAnsi="inherit" w:cs="Arial"/>
          <w:b/>
          <w:bCs/>
          <w:color w:val="000000"/>
          <w:spacing w:val="-1"/>
          <w:sz w:val="24"/>
          <w:szCs w:val="24"/>
          <w:bdr w:val="none" w:sz="0" w:space="0" w:color="auto" w:frame="1"/>
          <w:lang w:eastAsia="tr-TR"/>
        </w:rPr>
        <w:t xml:space="preserve"> da 300 Milyarın üzerine taşıyacağı beklentisi ile hedef fiyatımızı cari ve </w:t>
      </w:r>
      <w:proofErr w:type="spellStart"/>
      <w:r w:rsidRPr="000B49BB">
        <w:rPr>
          <w:rFonts w:ascii="inherit" w:eastAsia="Times New Roman" w:hAnsi="inherit" w:cs="Arial"/>
          <w:b/>
          <w:bCs/>
          <w:color w:val="000000"/>
          <w:spacing w:val="-1"/>
          <w:sz w:val="24"/>
          <w:szCs w:val="24"/>
          <w:bdr w:val="none" w:sz="0" w:space="0" w:color="auto" w:frame="1"/>
          <w:lang w:eastAsia="tr-TR"/>
        </w:rPr>
        <w:t>prospektif</w:t>
      </w:r>
      <w:proofErr w:type="spellEnd"/>
      <w:r w:rsidRPr="000B49BB">
        <w:rPr>
          <w:rFonts w:ascii="inherit" w:eastAsia="Times New Roman" w:hAnsi="inherit" w:cs="Arial"/>
          <w:b/>
          <w:bCs/>
          <w:color w:val="000000"/>
          <w:spacing w:val="-1"/>
          <w:sz w:val="24"/>
          <w:szCs w:val="24"/>
          <w:bdr w:val="none" w:sz="0" w:space="0" w:color="auto" w:frame="1"/>
          <w:lang w:eastAsia="tr-TR"/>
        </w:rPr>
        <w:t xml:space="preserve"> F/K ve PD/DD oranlarına göre hesaplanan değerlerin ortalaması olan ve %60’lık bir getiri potansiyelini barındıran 97 TL’lik hedef fiyatımızı koruyoruz ve model portföyde tutmaya devam ediyoruz.</w:t>
      </w:r>
    </w:p>
    <w:bookmarkEnd w:id="0"/>
    <w:p w:rsidR="000B49BB" w:rsidRPr="000B49BB" w:rsidRDefault="000B49BB" w:rsidP="000B49BB">
      <w:pPr>
        <w:spacing w:after="0" w:line="300" w:lineRule="atLeast"/>
        <w:ind w:left="150" w:right="150"/>
        <w:textAlignment w:val="baseline"/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</w:pPr>
      <w:r w:rsidRPr="000B49BB">
        <w:rPr>
          <w:rFonts w:ascii="inherit" w:eastAsia="Times New Roman" w:hAnsi="inherit" w:cs="Arial"/>
          <w:b/>
          <w:bCs/>
          <w:noProof/>
          <w:color w:val="000000"/>
          <w:spacing w:val="-1"/>
          <w:sz w:val="24"/>
          <w:szCs w:val="24"/>
          <w:bdr w:val="none" w:sz="0" w:space="0" w:color="auto" w:frame="1"/>
          <w:lang w:eastAsia="tr-TR"/>
        </w:rPr>
        <w:lastRenderedPageBreak/>
        <w:drawing>
          <wp:inline distT="0" distB="0" distL="0" distR="0">
            <wp:extent cx="9439275" cy="6096000"/>
            <wp:effectExtent l="0" t="0" r="9525" b="0"/>
            <wp:docPr id="1" name="Resim 1" descr="https://www.gcmyatirim.com.tr/wp-content/uploads/2025/10/24/akbnk-resim-1_1761316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cmyatirim.com.tr/wp-content/uploads/2025/10/24/akbnk-resim-1_176131606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927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9BB" w:rsidRPr="000B49BB" w:rsidRDefault="000B49BB" w:rsidP="000B49BB">
      <w:pPr>
        <w:spacing w:after="225" w:line="300" w:lineRule="atLeast"/>
        <w:ind w:left="150" w:right="150"/>
        <w:textAlignment w:val="baseline"/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</w:pPr>
      <w:r w:rsidRPr="000B49BB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 xml:space="preserve">Bankacılık sektörünün özellikle 2000 sonrası güçlü yapısı için ilk bakılması gereken yerlerden birisi Sermaye Yeterlilik </w:t>
      </w:r>
      <w:proofErr w:type="spellStart"/>
      <w:r w:rsidRPr="000B49BB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>Rasyosu</w:t>
      </w:r>
      <w:proofErr w:type="spellEnd"/>
      <w:r w:rsidRPr="000B49BB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 xml:space="preserve"> (SYR)’dur. Akbank’ın son çeyrek </w:t>
      </w:r>
      <w:proofErr w:type="spellStart"/>
      <w:r w:rsidRPr="000B49BB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>yıllıklandırılmış</w:t>
      </w:r>
      <w:proofErr w:type="spellEnd"/>
      <w:r w:rsidRPr="000B49BB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 xml:space="preserve"> Sermaye Yeterliliği </w:t>
      </w:r>
      <w:proofErr w:type="spellStart"/>
      <w:r w:rsidRPr="000B49BB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>Rasyosu</w:t>
      </w:r>
      <w:proofErr w:type="spellEnd"/>
      <w:r w:rsidRPr="000B49BB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 xml:space="preserve"> %17,2 olarak gerçekleşerek karlı büyüme için önemli bir rekabet avantajı sağlıyor. Akbank’ın gelen son çeyrek rakamları ile beraber Fiyat/ Kazanç Oranı 6,32 olurken sektör ortalamasının 6,61 olması F/K yönünden toparlanmanın işareti olarak kabul edilebilir. Ayrıca Akbank’ın Piyasa Değeri/ Defter Değeri (PD/DD) ise son çeyrekte 1,10 olurken sektör de çok yakınsamış durumdadır. </w:t>
      </w:r>
      <w:proofErr w:type="spellStart"/>
      <w:r w:rsidRPr="000B49BB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>Aswath</w:t>
      </w:r>
      <w:proofErr w:type="spellEnd"/>
      <w:r w:rsidRPr="000B49BB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 xml:space="preserve"> </w:t>
      </w:r>
      <w:proofErr w:type="spellStart"/>
      <w:r w:rsidRPr="000B49BB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>Damodaran’ın</w:t>
      </w:r>
      <w:proofErr w:type="spellEnd"/>
      <w:r w:rsidRPr="000B49BB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 xml:space="preserve"> çarpanları Avrupa içinde ele alındığında 114 banka F/K ortalaması 18,84 </w:t>
      </w:r>
      <w:proofErr w:type="spellStart"/>
      <w:r w:rsidRPr="000B49BB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>lerde</w:t>
      </w:r>
      <w:proofErr w:type="spellEnd"/>
      <w:r w:rsidRPr="000B49BB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 xml:space="preserve"> oluşurken beklenen F/K </w:t>
      </w:r>
      <w:proofErr w:type="spellStart"/>
      <w:r w:rsidRPr="000B49BB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>sınında</w:t>
      </w:r>
      <w:proofErr w:type="spellEnd"/>
      <w:r w:rsidRPr="000B49BB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 xml:space="preserve"> 7,19 </w:t>
      </w:r>
      <w:proofErr w:type="spellStart"/>
      <w:r w:rsidRPr="000B49BB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>larda</w:t>
      </w:r>
      <w:proofErr w:type="spellEnd"/>
      <w:r w:rsidRPr="000B49BB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 xml:space="preserve"> oluşacağı göz önüne alındığında Akbank F/K yönünden doygunluğa ulaşmasının göstergesidir. Ayrıca PEG </w:t>
      </w:r>
      <w:proofErr w:type="spellStart"/>
      <w:r w:rsidRPr="000B49BB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>rasyosunun</w:t>
      </w:r>
      <w:proofErr w:type="spellEnd"/>
      <w:r w:rsidRPr="000B49BB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 xml:space="preserve"> da 0,50 de oluşması büyümeler göz önüne alındığında daha bir katlık daha potansiyel getiriye işaret etmektedir. Bununla birlikte PD/DD açısından incelendiğinde 1,10’luk seviyelerde oluşması Akbank’ın ve Türk Bankacılık sektörünün bunun üzerinde oluşması fiyat </w:t>
      </w:r>
      <w:r w:rsidRPr="000B49BB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lastRenderedPageBreak/>
        <w:t>doygunluğuna işaret etmesine rağmen baskılanan karların neden olduğu bu doygunluğun kar artışları ve büyüme desteği ile artacağını düşünmekteyiz.</w:t>
      </w:r>
    </w:p>
    <w:p w:rsidR="000B49BB" w:rsidRDefault="000B49BB" w:rsidP="000B49BB">
      <w:pPr>
        <w:pStyle w:val="NormalWeb"/>
        <w:spacing w:before="0" w:beforeAutospacing="0" w:after="225" w:afterAutospacing="0"/>
        <w:ind w:left="150" w:right="150"/>
        <w:textAlignment w:val="baseline"/>
        <w:rPr>
          <w:rFonts w:ascii="Arial" w:hAnsi="Arial" w:cs="Arial"/>
          <w:color w:val="000000"/>
          <w:spacing w:val="-1"/>
        </w:rPr>
      </w:pPr>
      <w:r>
        <w:rPr>
          <w:rFonts w:ascii="Arial" w:hAnsi="Arial" w:cs="Arial"/>
          <w:color w:val="000000"/>
          <w:spacing w:val="-1"/>
        </w:rPr>
        <w:t xml:space="preserve">Akbank’ın bilanço hareketleri incelendiğinde toplam varlıkların bir önceki yılın üçüncü çeyreğine göre yaklaşık olarak %33 büyüdüğüne ve aktiflerin içinde yer alan Kredilerin ise %34 büyüdüğüne işaret etmektedir. Takipteki krediler aktif kalitesi için önemli bir gösterge olup  toplam aktifin içindeki payı son çeyrekte %2’ye düştüğü aynı dönemin bir yıl öncesine göre artış yaklaşık %88 olmuştur. Ancak bankanın karşılık ayırmada ihtiyatlı yaklaşımı; %32,7 seviyesindeki güçlü karşılık oranı ile dengelenmeye çalışılmıştır. Pasif tarafta ise Mevduat artışı bir önceki yılın aynı dönemine göre %29 artış göstermiştir. Düşük maliyetli mevduat tabanı optimizasyonu politikası ile 3. çeyrekte TL vadeli mevduatlarda 190 </w:t>
      </w:r>
      <w:proofErr w:type="gramStart"/>
      <w:r>
        <w:rPr>
          <w:rFonts w:ascii="Arial" w:hAnsi="Arial" w:cs="Arial"/>
          <w:color w:val="000000"/>
          <w:spacing w:val="-1"/>
        </w:rPr>
        <w:t>baz</w:t>
      </w:r>
      <w:proofErr w:type="gramEnd"/>
      <w:r>
        <w:rPr>
          <w:rFonts w:ascii="Arial" w:hAnsi="Arial" w:cs="Arial"/>
          <w:color w:val="000000"/>
          <w:spacing w:val="-1"/>
        </w:rPr>
        <w:t xml:space="preserve"> puanlı pazar payı kullanımı düşük TL Kredi/mevduat </w:t>
      </w:r>
      <w:proofErr w:type="spellStart"/>
      <w:r>
        <w:rPr>
          <w:rFonts w:ascii="Arial" w:hAnsi="Arial" w:cs="Arial"/>
          <w:color w:val="000000"/>
          <w:spacing w:val="-1"/>
        </w:rPr>
        <w:t>rasyosu</w:t>
      </w:r>
      <w:proofErr w:type="spellEnd"/>
      <w:r>
        <w:rPr>
          <w:rFonts w:ascii="Arial" w:hAnsi="Arial" w:cs="Arial"/>
          <w:color w:val="000000"/>
          <w:spacing w:val="-1"/>
        </w:rPr>
        <w:t xml:space="preserve"> ile net faiz marjının iyileştirilmesi için alan açılmıştır. Kredi/Mevduat oranı yani Plase oranı bankacılık için önemli bir </w:t>
      </w:r>
      <w:proofErr w:type="spellStart"/>
      <w:r>
        <w:rPr>
          <w:rFonts w:ascii="Arial" w:hAnsi="Arial" w:cs="Arial"/>
          <w:color w:val="000000"/>
          <w:spacing w:val="-1"/>
        </w:rPr>
        <w:t>rasyo</w:t>
      </w:r>
      <w:proofErr w:type="spellEnd"/>
      <w:r>
        <w:rPr>
          <w:rFonts w:ascii="Arial" w:hAnsi="Arial" w:cs="Arial"/>
          <w:color w:val="000000"/>
          <w:spacing w:val="-1"/>
        </w:rPr>
        <w:t xml:space="preserve"> olup bu oranın yüksekliği bankacılık çalışma prensiplerine göre istenen bir orandır. Kredi/Mevduat oranı Akbank için son çeyrekte %80,3’lerde gerçekleşmiştir. </w:t>
      </w:r>
      <w:proofErr w:type="spellStart"/>
      <w:r>
        <w:rPr>
          <w:rFonts w:ascii="Arial" w:hAnsi="Arial" w:cs="Arial"/>
          <w:color w:val="000000"/>
          <w:spacing w:val="-1"/>
        </w:rPr>
        <w:t>Özkaynaklar</w:t>
      </w:r>
      <w:proofErr w:type="spellEnd"/>
      <w:r>
        <w:rPr>
          <w:rFonts w:ascii="Arial" w:hAnsi="Arial" w:cs="Arial"/>
          <w:color w:val="000000"/>
          <w:spacing w:val="-1"/>
        </w:rPr>
        <w:t xml:space="preserve"> ise aynı dönemin bir yıl öncesine göre %20 artmıştır. Faiz gelirleri %29 artarken faiz giderleri ise sadece %19 artmış ve net faiz gelirlerinde ise bu durum yaklaşık %125’lik gibi güçlü bir artışa işaret etmiştir. Gelir tablosunda dikkat çeken gelişme de faaliyet giderlerinin bir önceki ve yıllık </w:t>
      </w:r>
      <w:proofErr w:type="gramStart"/>
      <w:r>
        <w:rPr>
          <w:rFonts w:ascii="Arial" w:hAnsi="Arial" w:cs="Arial"/>
          <w:color w:val="000000"/>
          <w:spacing w:val="-1"/>
        </w:rPr>
        <w:t>bazda</w:t>
      </w:r>
      <w:proofErr w:type="gramEnd"/>
      <w:r>
        <w:rPr>
          <w:rFonts w:ascii="Arial" w:hAnsi="Arial" w:cs="Arial"/>
          <w:color w:val="000000"/>
          <w:spacing w:val="-1"/>
        </w:rPr>
        <w:t xml:space="preserve"> gayet düşükte oluşmasıdır.</w:t>
      </w:r>
    </w:p>
    <w:p w:rsidR="000B49BB" w:rsidRDefault="000B49BB" w:rsidP="000B49BB">
      <w:pPr>
        <w:pStyle w:val="NormalWeb"/>
        <w:spacing w:before="0" w:beforeAutospacing="0" w:after="0" w:afterAutospacing="0"/>
        <w:ind w:left="150" w:right="150"/>
        <w:textAlignment w:val="baseline"/>
        <w:rPr>
          <w:rFonts w:ascii="Arial" w:hAnsi="Arial" w:cs="Arial"/>
          <w:color w:val="000000"/>
          <w:spacing w:val="-1"/>
        </w:rPr>
      </w:pPr>
      <w:r>
        <w:rPr>
          <w:rFonts w:ascii="inherit" w:hAnsi="inherit" w:cs="Arial"/>
          <w:b/>
          <w:bCs/>
          <w:noProof/>
          <w:color w:val="000000"/>
          <w:spacing w:val="-1"/>
          <w:bdr w:val="none" w:sz="0" w:space="0" w:color="auto" w:frame="1"/>
        </w:rPr>
        <w:drawing>
          <wp:inline distT="0" distB="0" distL="0" distR="0">
            <wp:extent cx="7867650" cy="1552575"/>
            <wp:effectExtent l="0" t="0" r="0" b="9525"/>
            <wp:docPr id="3" name="Resim 3" descr="https://www.gcmyatirim.com.tr/wp-content/uploads/2025/10/24/akbnk-resim-2_17613160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cmyatirim.com.tr/wp-content/uploads/2025/10/24/akbnk-resim-2_176131607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9BB" w:rsidRDefault="000B49BB" w:rsidP="000B49BB">
      <w:pPr>
        <w:pStyle w:val="NormalWeb"/>
        <w:spacing w:before="0" w:beforeAutospacing="0" w:after="225" w:afterAutospacing="0"/>
        <w:ind w:left="150" w:right="150"/>
        <w:textAlignment w:val="baseline"/>
        <w:rPr>
          <w:rFonts w:ascii="Arial" w:hAnsi="Arial" w:cs="Arial"/>
          <w:color w:val="000000"/>
          <w:spacing w:val="-1"/>
        </w:rPr>
      </w:pPr>
      <w:r>
        <w:rPr>
          <w:rFonts w:ascii="Arial" w:hAnsi="Arial" w:cs="Arial"/>
          <w:noProof/>
          <w:color w:val="000000"/>
          <w:spacing w:val="-1"/>
        </w:rPr>
        <w:drawing>
          <wp:inline distT="0" distB="0" distL="0" distR="0">
            <wp:extent cx="7743825" cy="3390900"/>
            <wp:effectExtent l="0" t="0" r="9525" b="0"/>
            <wp:docPr id="2" name="Resim 2" descr="https://www.gcmyatirim.com.tr/wp-content/uploads/2025/10/24/akbnk-resim-3_17613160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gcmyatirim.com.tr/wp-content/uploads/2025/10/24/akbnk-resim-3_176131609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82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999" w:rsidRDefault="00805DA5">
      <w:hyperlink r:id="rId8" w:history="1">
        <w:r w:rsidR="000B49BB" w:rsidRPr="00600CA8">
          <w:rPr>
            <w:rStyle w:val="Kpr"/>
          </w:rPr>
          <w:t>https://www.gcmyatirim.com.tr/arastirma-analiz/ozel-raporlar/2025-10-24-akbank-akbnk-2025-3-ceyrek-bilanco-analizi</w:t>
        </w:r>
      </w:hyperlink>
    </w:p>
    <w:p w:rsidR="000B49BB" w:rsidRDefault="000B49BB"/>
    <w:sectPr w:rsidR="000B4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9BB"/>
    <w:rsid w:val="000B49BB"/>
    <w:rsid w:val="00376999"/>
    <w:rsid w:val="0080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0B49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49B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unhideWhenUsed/>
    <w:rsid w:val="000B49B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B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B49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0B49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49B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unhideWhenUsed/>
    <w:rsid w:val="000B49B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B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B49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1984">
          <w:marLeft w:val="0"/>
          <w:marRight w:val="0"/>
          <w:marTop w:val="0"/>
          <w:marBottom w:val="300"/>
          <w:divBdr>
            <w:top w:val="single" w:sz="6" w:space="19" w:color="E4E9F2"/>
            <w:left w:val="none" w:sz="0" w:space="26" w:color="auto"/>
            <w:bottom w:val="single" w:sz="6" w:space="19" w:color="E4E9F2"/>
            <w:right w:val="none" w:sz="0" w:space="26" w:color="auto"/>
          </w:divBdr>
          <w:divsChild>
            <w:div w:id="15290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7701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8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0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cmyatirim.com.tr/arastirma-analiz/ozel-raporlar/2025-10-24-akbank-akbnk-2025-3-ceyrek-bilanco-analiz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662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ÖMER FARUK ÖZTÜRK</cp:lastModifiedBy>
  <cp:revision>3</cp:revision>
  <dcterms:created xsi:type="dcterms:W3CDTF">2025-10-24T14:42:00Z</dcterms:created>
  <dcterms:modified xsi:type="dcterms:W3CDTF">2025-10-24T19:12:00Z</dcterms:modified>
</cp:coreProperties>
</file>