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8E9" w:rsidRDefault="000718E9" w:rsidP="000718E9">
      <w:pPr>
        <w:pStyle w:val="Balk1"/>
        <w:spacing w:before="0" w:beforeAutospacing="0" w:after="75" w:afterAutospacing="0" w:line="360" w:lineRule="atLeast"/>
        <w:textAlignment w:val="baseline"/>
        <w:rPr>
          <w:rFonts w:ascii="inherit" w:hAnsi="inherit" w:cs="Arial"/>
          <w:color w:val="1D567D"/>
          <w:spacing w:val="-1"/>
          <w:sz w:val="33"/>
          <w:szCs w:val="33"/>
        </w:rPr>
      </w:pPr>
      <w:bookmarkStart w:id="0" w:name="_GoBack"/>
      <w:bookmarkEnd w:id="0"/>
      <w:proofErr w:type="spellStart"/>
      <w:r>
        <w:rPr>
          <w:rFonts w:ascii="inherit" w:hAnsi="inherit" w:cs="Arial"/>
          <w:color w:val="1D567D"/>
          <w:spacing w:val="-1"/>
          <w:sz w:val="33"/>
          <w:szCs w:val="33"/>
        </w:rPr>
        <w:t>Avrupakent</w:t>
      </w:r>
      <w:proofErr w:type="spellEnd"/>
      <w:r>
        <w:rPr>
          <w:rFonts w:ascii="inherit" w:hAnsi="inherit" w:cs="Arial"/>
          <w:color w:val="1D567D"/>
          <w:spacing w:val="-1"/>
          <w:sz w:val="33"/>
          <w:szCs w:val="33"/>
        </w:rPr>
        <w:t xml:space="preserve"> Gayrimenkul Yatırım Ortaklığı (AVPGY) 2025 2. Çeyrek Bilanço Analizi</w:t>
      </w:r>
    </w:p>
    <w:p w:rsidR="000718E9" w:rsidRDefault="000718E9" w:rsidP="000718E9">
      <w:pPr>
        <w:spacing w:line="330" w:lineRule="atLeast"/>
        <w:textAlignment w:val="baseline"/>
        <w:rPr>
          <w:rFonts w:ascii="inherit" w:hAnsi="inherit" w:cs="Arial"/>
          <w:color w:val="5F676F"/>
          <w:spacing w:val="-1"/>
        </w:rPr>
      </w:pPr>
      <w:r>
        <w:rPr>
          <w:rFonts w:ascii="inherit" w:hAnsi="inherit" w:cs="Arial"/>
          <w:color w:val="5F676F"/>
          <w:spacing w:val="-1"/>
          <w:bdr w:val="none" w:sz="0" w:space="0" w:color="auto" w:frame="1"/>
        </w:rPr>
        <w:t>12 Ağustos 2025</w:t>
      </w:r>
      <w:hyperlink r:id="rId5" w:tgtFrame="_blank" w:tooltip="GCM Araştırma &amp; Analiz" w:history="1">
        <w:r>
          <w:rPr>
            <w:rStyle w:val="Kpr"/>
            <w:rFonts w:ascii="inherit" w:hAnsi="inherit" w:cs="Arial"/>
            <w:spacing w:val="-1"/>
            <w:bdr w:val="none" w:sz="0" w:space="0" w:color="auto" w:frame="1"/>
          </w:rPr>
          <w:t>GCM Araştırma &amp; Analiz</w:t>
        </w:r>
      </w:hyperlink>
      <w:r>
        <w:rPr>
          <w:rFonts w:ascii="inherit" w:hAnsi="inherit" w:cs="Arial"/>
          <w:color w:val="5F676F"/>
          <w:spacing w:val="-1"/>
          <w:bdr w:val="none" w:sz="0" w:space="0" w:color="auto" w:frame="1"/>
        </w:rPr>
        <w:t xml:space="preserve">- Araştırma &amp; </w:t>
      </w:r>
      <w:proofErr w:type="spellStart"/>
      <w:r>
        <w:rPr>
          <w:rFonts w:ascii="inherit" w:hAnsi="inherit" w:cs="Arial"/>
          <w:color w:val="5F676F"/>
          <w:spacing w:val="-1"/>
          <w:bdr w:val="none" w:sz="0" w:space="0" w:color="auto" w:frame="1"/>
        </w:rPr>
        <w:t>AnalizBorsa</w:t>
      </w:r>
      <w:proofErr w:type="spellEnd"/>
    </w:p>
    <w:p w:rsidR="000718E9" w:rsidRDefault="000718E9" w:rsidP="000718E9">
      <w:pPr>
        <w:pStyle w:val="NormalWeb"/>
        <w:spacing w:before="0" w:beforeAutospacing="0" w:after="0" w:afterAutospacing="0" w:line="300" w:lineRule="atLeast"/>
        <w:ind w:left="150" w:right="150"/>
        <w:textAlignment w:val="baseline"/>
        <w:rPr>
          <w:rFonts w:ascii="inherit" w:hAnsi="inherit" w:cs="Arial"/>
          <w:color w:val="000000"/>
          <w:spacing w:val="-1"/>
        </w:rPr>
      </w:pPr>
      <w:proofErr w:type="spellStart"/>
      <w:r>
        <w:rPr>
          <w:rFonts w:ascii="inherit" w:hAnsi="inherit" w:cs="Arial"/>
          <w:color w:val="000000"/>
          <w:spacing w:val="-1"/>
        </w:rPr>
        <w:t>Avrupakent</w:t>
      </w:r>
      <w:proofErr w:type="spellEnd"/>
      <w:r>
        <w:rPr>
          <w:rFonts w:ascii="inherit" w:hAnsi="inherit" w:cs="Arial"/>
          <w:color w:val="000000"/>
          <w:spacing w:val="-1"/>
        </w:rPr>
        <w:t xml:space="preserve"> Gayrimenkul Yatırım Ortaklığı (</w:t>
      </w:r>
      <w:hyperlink r:id="rId6" w:tgtFrame="_blank" w:tooltip="AVPGY Hisse Fiyatı" w:history="1">
        <w:r>
          <w:rPr>
            <w:rStyle w:val="Kpr"/>
            <w:rFonts w:ascii="inherit" w:hAnsi="inherit" w:cs="Arial"/>
            <w:b/>
            <w:bCs/>
            <w:spacing w:val="-1"/>
            <w:bdr w:val="none" w:sz="0" w:space="0" w:color="auto" w:frame="1"/>
          </w:rPr>
          <w:t>AVPGY</w:t>
        </w:r>
      </w:hyperlink>
      <w:r>
        <w:rPr>
          <w:rFonts w:ascii="inherit" w:hAnsi="inherit" w:cs="Arial"/>
          <w:color w:val="000000"/>
          <w:spacing w:val="-1"/>
        </w:rPr>
        <w:t xml:space="preserve">) 2025 yılı 2. Çeyreğinde 1,07 milyar TL net kar açıkladı. Yıllık </w:t>
      </w:r>
      <w:proofErr w:type="gramStart"/>
      <w:r>
        <w:rPr>
          <w:rFonts w:ascii="inherit" w:hAnsi="inherit" w:cs="Arial"/>
          <w:color w:val="000000"/>
          <w:spacing w:val="-1"/>
        </w:rPr>
        <w:t>bazda</w:t>
      </w:r>
      <w:proofErr w:type="gramEnd"/>
      <w:r>
        <w:rPr>
          <w:rFonts w:ascii="inherit" w:hAnsi="inherit" w:cs="Arial"/>
          <w:color w:val="000000"/>
          <w:spacing w:val="-1"/>
        </w:rPr>
        <w:t xml:space="preserve"> bakıldığında net karda %83’lük azalış gerçekleşirken çeyreklik görünümde %381’lik artış dikkat çekti.</w:t>
      </w:r>
    </w:p>
    <w:p w:rsidR="000718E9" w:rsidRDefault="000718E9" w:rsidP="000718E9">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noProof/>
          <w:color w:val="000000"/>
          <w:spacing w:val="-1"/>
        </w:rPr>
        <w:drawing>
          <wp:inline distT="0" distB="0" distL="0" distR="0">
            <wp:extent cx="10363200" cy="4752975"/>
            <wp:effectExtent l="0" t="0" r="0" b="9525"/>
            <wp:docPr id="2" name="Resim 2" descr="https://www.gcmyatirim.com.tr/wp-content/uploads/2025/08/12/1_17549998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cmyatirim.com.tr/wp-content/uploads/2025/08/12/1_175499989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3200" cy="4752975"/>
                    </a:xfrm>
                    <a:prstGeom prst="rect">
                      <a:avLst/>
                    </a:prstGeom>
                    <a:noFill/>
                    <a:ln>
                      <a:noFill/>
                    </a:ln>
                  </pic:spPr>
                </pic:pic>
              </a:graphicData>
            </a:graphic>
          </wp:inline>
        </w:drawing>
      </w:r>
    </w:p>
    <w:p w:rsidR="000718E9" w:rsidRDefault="000718E9" w:rsidP="000718E9">
      <w:pPr>
        <w:pStyle w:val="NormalWeb"/>
        <w:spacing w:before="0" w:beforeAutospacing="0" w:after="0" w:afterAutospacing="0" w:line="300" w:lineRule="atLeast"/>
        <w:ind w:left="150" w:right="150"/>
        <w:jc w:val="center"/>
        <w:textAlignment w:val="baseline"/>
        <w:rPr>
          <w:rFonts w:ascii="inherit" w:hAnsi="inherit" w:cs="Arial"/>
          <w:color w:val="000000"/>
          <w:spacing w:val="-1"/>
        </w:rPr>
      </w:pPr>
      <w:r>
        <w:rPr>
          <w:rStyle w:val="Vurgu"/>
          <w:rFonts w:ascii="inherit" w:hAnsi="inherit" w:cs="Arial"/>
          <w:color w:val="000000"/>
          <w:spacing w:val="-1"/>
          <w:bdr w:val="none" w:sz="0" w:space="0" w:color="auto" w:frame="1"/>
        </w:rPr>
        <w:t xml:space="preserve">Kaynak: </w:t>
      </w:r>
      <w:proofErr w:type="spellStart"/>
      <w:r>
        <w:rPr>
          <w:rStyle w:val="Vurgu"/>
          <w:rFonts w:ascii="inherit" w:hAnsi="inherit" w:cs="Arial"/>
          <w:color w:val="000000"/>
          <w:spacing w:val="-1"/>
          <w:bdr w:val="none" w:sz="0" w:space="0" w:color="auto" w:frame="1"/>
        </w:rPr>
        <w:t>FastWeb</w:t>
      </w:r>
      <w:proofErr w:type="spellEnd"/>
    </w:p>
    <w:p w:rsidR="000718E9" w:rsidRDefault="000718E9" w:rsidP="000718E9">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 xml:space="preserve">Satış gelirleri, 2025 yılı ikinci çeyreğinde geçtiğimiz yılın aynı dönemine göre %107 artış göstererek 1.751,04 milyar TL seviyesine ulaştı. Çeyreklik </w:t>
      </w:r>
      <w:proofErr w:type="gramStart"/>
      <w:r>
        <w:rPr>
          <w:rFonts w:ascii="inherit" w:hAnsi="inherit" w:cs="Arial"/>
          <w:color w:val="000000"/>
          <w:spacing w:val="-1"/>
        </w:rPr>
        <w:t>bazda</w:t>
      </w:r>
      <w:proofErr w:type="gramEnd"/>
      <w:r>
        <w:rPr>
          <w:rFonts w:ascii="inherit" w:hAnsi="inherit" w:cs="Arial"/>
          <w:color w:val="000000"/>
          <w:spacing w:val="-1"/>
        </w:rPr>
        <w:t xml:space="preserve"> ise %117’lik güçlü bir artış kaydedildi. Net satış üzerindeki etki olarak konut ve ofis satış gelirleri 2025 yılı 2. Çeyreğinde 1.110.913,37 milyar TL, kira gelirleri 511.261.072 milyon TL ve ortak alan satış gelirleri 123.933.095 milyon TL katkı sağladı.</w:t>
      </w:r>
    </w:p>
    <w:p w:rsidR="000718E9" w:rsidRDefault="000718E9" w:rsidP="000718E9">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 xml:space="preserve">Net kar </w:t>
      </w:r>
      <w:proofErr w:type="gramStart"/>
      <w:r>
        <w:rPr>
          <w:rFonts w:ascii="inherit" w:hAnsi="inherit" w:cs="Arial"/>
          <w:color w:val="000000"/>
          <w:spacing w:val="-1"/>
        </w:rPr>
        <w:t>marjı</w:t>
      </w:r>
      <w:proofErr w:type="gramEnd"/>
      <w:r>
        <w:rPr>
          <w:rFonts w:ascii="inherit" w:hAnsi="inherit" w:cs="Arial"/>
          <w:color w:val="000000"/>
          <w:spacing w:val="-1"/>
        </w:rPr>
        <w:t xml:space="preserve"> 2.çeyrekte 61,09% olurken, önceki çeyrekte 27,47% ve geçen yılın aynı çeyreğinde 746,55% olmuştu. Brüt kar </w:t>
      </w:r>
      <w:proofErr w:type="gramStart"/>
      <w:r>
        <w:rPr>
          <w:rFonts w:ascii="inherit" w:hAnsi="inherit" w:cs="Arial"/>
          <w:color w:val="000000"/>
          <w:spacing w:val="-1"/>
        </w:rPr>
        <w:t>marjı</w:t>
      </w:r>
      <w:proofErr w:type="gramEnd"/>
      <w:r>
        <w:rPr>
          <w:rFonts w:ascii="inherit" w:hAnsi="inherit" w:cs="Arial"/>
          <w:color w:val="000000"/>
          <w:spacing w:val="-1"/>
        </w:rPr>
        <w:t xml:space="preserve"> 2.çeyrekte 67,55% olurken, önceki çeyrekte 62,25% ve geçen yılın aynı döneminde 85,70% olarak gerçekleşmişti.</w:t>
      </w:r>
    </w:p>
    <w:p w:rsidR="000718E9" w:rsidRDefault="000718E9" w:rsidP="000718E9">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 xml:space="preserve">FAVÖK 2025 yılı 2. çeyreğinde geçen yılın aynı çeyreğine göre %65 artışla 1.149,62 milyar TL olarak gerçekleşti. Bir önceki çeyreğe göre ise </w:t>
      </w:r>
      <w:proofErr w:type="spellStart"/>
      <w:r>
        <w:rPr>
          <w:rFonts w:ascii="inherit" w:hAnsi="inherit" w:cs="Arial"/>
          <w:color w:val="000000"/>
          <w:spacing w:val="-1"/>
        </w:rPr>
        <w:t>FAVÖK’te</w:t>
      </w:r>
      <w:proofErr w:type="spellEnd"/>
      <w:r>
        <w:rPr>
          <w:rFonts w:ascii="inherit" w:hAnsi="inherit" w:cs="Arial"/>
          <w:color w:val="000000"/>
          <w:spacing w:val="-1"/>
        </w:rPr>
        <w:t xml:space="preserve"> %158’lik artış dikkat çekti. FAVÖK </w:t>
      </w:r>
      <w:proofErr w:type="gramStart"/>
      <w:r>
        <w:rPr>
          <w:rFonts w:ascii="inherit" w:hAnsi="inherit" w:cs="Arial"/>
          <w:color w:val="000000"/>
          <w:spacing w:val="-1"/>
        </w:rPr>
        <w:t>marjı</w:t>
      </w:r>
      <w:proofErr w:type="gramEnd"/>
      <w:r>
        <w:rPr>
          <w:rFonts w:ascii="inherit" w:hAnsi="inherit" w:cs="Arial"/>
          <w:color w:val="000000"/>
          <w:spacing w:val="-1"/>
        </w:rPr>
        <w:t xml:space="preserve"> ise 2. çeyrekte geçen yılın aynı çeyreğine göre 16,64 puan azalışla </w:t>
      </w:r>
      <w:r>
        <w:rPr>
          <w:rFonts w:ascii="inherit" w:hAnsi="inherit" w:cs="Arial"/>
          <w:color w:val="000000"/>
          <w:spacing w:val="-1"/>
        </w:rPr>
        <w:lastRenderedPageBreak/>
        <w:t xml:space="preserve">%65,65 oldu. Bir önceki çeyrekte FAVÖK </w:t>
      </w:r>
      <w:proofErr w:type="gramStart"/>
      <w:r>
        <w:rPr>
          <w:rFonts w:ascii="inherit" w:hAnsi="inherit" w:cs="Arial"/>
          <w:color w:val="000000"/>
          <w:spacing w:val="-1"/>
        </w:rPr>
        <w:t>marjı</w:t>
      </w:r>
      <w:proofErr w:type="gramEnd"/>
      <w:r>
        <w:rPr>
          <w:rFonts w:ascii="inherit" w:hAnsi="inherit" w:cs="Arial"/>
          <w:color w:val="000000"/>
          <w:spacing w:val="-1"/>
        </w:rPr>
        <w:t xml:space="preserve"> %55,16 seviyesindeydi. Çeyreklik </w:t>
      </w:r>
      <w:proofErr w:type="gramStart"/>
      <w:r>
        <w:rPr>
          <w:rFonts w:ascii="inherit" w:hAnsi="inherit" w:cs="Arial"/>
          <w:color w:val="000000"/>
          <w:spacing w:val="-1"/>
        </w:rPr>
        <w:t>bazda</w:t>
      </w:r>
      <w:proofErr w:type="gramEnd"/>
      <w:r>
        <w:rPr>
          <w:rFonts w:ascii="inherit" w:hAnsi="inherit" w:cs="Arial"/>
          <w:color w:val="000000"/>
          <w:spacing w:val="-1"/>
        </w:rPr>
        <w:t xml:space="preserve"> FAVÖK marjında 10,49 puan artış gerçekleşti.</w:t>
      </w:r>
    </w:p>
    <w:p w:rsidR="000718E9" w:rsidRDefault="000718E9" w:rsidP="000718E9">
      <w:pPr>
        <w:pStyle w:val="Balk2"/>
        <w:spacing w:before="0" w:beforeAutospacing="0" w:after="0" w:afterAutospacing="0" w:line="360" w:lineRule="atLeast"/>
        <w:ind w:left="150" w:right="150"/>
        <w:textAlignment w:val="baseline"/>
        <w:rPr>
          <w:rFonts w:ascii="inherit" w:hAnsi="inherit" w:cs="Arial"/>
          <w:color w:val="0A4975"/>
          <w:spacing w:val="-1"/>
          <w:sz w:val="27"/>
          <w:szCs w:val="27"/>
        </w:rPr>
      </w:pPr>
      <w:r>
        <w:rPr>
          <w:rStyle w:val="Gl"/>
          <w:rFonts w:ascii="inherit" w:hAnsi="inherit" w:cs="Arial"/>
          <w:b/>
          <w:bCs/>
          <w:color w:val="0A4975"/>
          <w:spacing w:val="-1"/>
          <w:sz w:val="27"/>
          <w:szCs w:val="27"/>
          <w:bdr w:val="none" w:sz="0" w:space="0" w:color="auto" w:frame="1"/>
        </w:rPr>
        <w:t>Konut Satışları</w:t>
      </w:r>
    </w:p>
    <w:p w:rsidR="000718E9" w:rsidRDefault="000718E9" w:rsidP="000718E9">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 xml:space="preserve">2025 yılının ilk yarısında şirket, </w:t>
      </w:r>
      <w:proofErr w:type="gramStart"/>
      <w:r>
        <w:rPr>
          <w:rFonts w:ascii="inherit" w:hAnsi="inherit" w:cs="Arial"/>
          <w:color w:val="000000"/>
          <w:spacing w:val="-1"/>
        </w:rPr>
        <w:t>portföyündeki</w:t>
      </w:r>
      <w:proofErr w:type="gramEnd"/>
      <w:r>
        <w:rPr>
          <w:rFonts w:ascii="inherit" w:hAnsi="inherit" w:cs="Arial"/>
          <w:color w:val="000000"/>
          <w:spacing w:val="-1"/>
        </w:rPr>
        <w:t xml:space="preserve"> projelerde satış faaliyetlerini sürdürmüştür. Bu dönemde Demir Life Projesi kapsamında yer alan 257 konuttan 14’ünün, Avrupa Konutları </w:t>
      </w:r>
      <w:proofErr w:type="spellStart"/>
      <w:r>
        <w:rPr>
          <w:rFonts w:ascii="inherit" w:hAnsi="inherit" w:cs="Arial"/>
          <w:color w:val="000000"/>
          <w:spacing w:val="-1"/>
        </w:rPr>
        <w:t>Çamlıvadi</w:t>
      </w:r>
      <w:proofErr w:type="spellEnd"/>
      <w:r>
        <w:rPr>
          <w:rFonts w:ascii="inherit" w:hAnsi="inherit" w:cs="Arial"/>
          <w:color w:val="000000"/>
          <w:spacing w:val="-1"/>
        </w:rPr>
        <w:t xml:space="preserve"> Projesi kapsamındaki 112 konuttan ise 34’ünün satışı tamamlanmıştır. Ayrıca, 04 Haziran 2025 tarihinde Avrupa Konutları Şişli Projesi için yapı kullanma izin belgelerinin (</w:t>
      </w:r>
      <w:proofErr w:type="gramStart"/>
      <w:r>
        <w:rPr>
          <w:rFonts w:ascii="inherit" w:hAnsi="inherit" w:cs="Arial"/>
          <w:color w:val="000000"/>
          <w:spacing w:val="-1"/>
        </w:rPr>
        <w:t>iskan</w:t>
      </w:r>
      <w:proofErr w:type="gramEnd"/>
      <w:r>
        <w:rPr>
          <w:rFonts w:ascii="inherit" w:hAnsi="inherit" w:cs="Arial"/>
          <w:color w:val="000000"/>
          <w:spacing w:val="-1"/>
        </w:rPr>
        <w:t>) alınmasıyla birlikte, 30 Haziran 2025 itibarıyla proje bünyesindeki toplam 127 konuttan 33’ünün satışı gerçekleştirilmiştir.</w:t>
      </w:r>
    </w:p>
    <w:p w:rsidR="000718E9" w:rsidRDefault="000718E9" w:rsidP="000718E9">
      <w:pPr>
        <w:pStyle w:val="Balk2"/>
        <w:spacing w:before="0" w:beforeAutospacing="0" w:after="0" w:afterAutospacing="0" w:line="360" w:lineRule="atLeast"/>
        <w:ind w:left="150" w:right="150"/>
        <w:textAlignment w:val="baseline"/>
        <w:rPr>
          <w:rFonts w:ascii="inherit" w:hAnsi="inherit" w:cs="Arial"/>
          <w:color w:val="0A4975"/>
          <w:spacing w:val="-1"/>
          <w:sz w:val="27"/>
          <w:szCs w:val="27"/>
        </w:rPr>
      </w:pPr>
      <w:r>
        <w:rPr>
          <w:rStyle w:val="Gl"/>
          <w:rFonts w:ascii="inherit" w:hAnsi="inherit" w:cs="Arial"/>
          <w:b/>
          <w:bCs/>
          <w:color w:val="0A4975"/>
          <w:spacing w:val="-1"/>
          <w:sz w:val="27"/>
          <w:szCs w:val="27"/>
          <w:bdr w:val="none" w:sz="0" w:space="0" w:color="auto" w:frame="1"/>
        </w:rPr>
        <w:t>Geliştirme Aşamasında Olan Projeler</w:t>
      </w:r>
    </w:p>
    <w:p w:rsidR="000718E9" w:rsidRDefault="000718E9" w:rsidP="000718E9">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 xml:space="preserve">Geliştirme aşamasındaki projeler kapsamında, şirketin %35 oranında mülkiyetine sahip olduğu Demir Life Projesi (Büyükçekmece, İstanbul) parsel ve üzerindeki </w:t>
      </w:r>
      <w:proofErr w:type="spellStart"/>
      <w:r>
        <w:rPr>
          <w:rFonts w:ascii="inherit" w:hAnsi="inherit" w:cs="Arial"/>
          <w:color w:val="000000"/>
          <w:spacing w:val="-1"/>
        </w:rPr>
        <w:t>inşai</w:t>
      </w:r>
      <w:proofErr w:type="spellEnd"/>
      <w:r>
        <w:rPr>
          <w:rFonts w:ascii="inherit" w:hAnsi="inherit" w:cs="Arial"/>
          <w:color w:val="000000"/>
          <w:spacing w:val="-1"/>
        </w:rPr>
        <w:t xml:space="preserve"> yatırımlardan oluşmakta olup, tamamlanması durumunda </w:t>
      </w:r>
      <w:proofErr w:type="spellStart"/>
      <w:r>
        <w:rPr>
          <w:rFonts w:ascii="inherit" w:hAnsi="inherit" w:cs="Arial"/>
          <w:color w:val="000000"/>
          <w:spacing w:val="-1"/>
        </w:rPr>
        <w:t>Avrupakent</w:t>
      </w:r>
      <w:proofErr w:type="spellEnd"/>
      <w:r>
        <w:rPr>
          <w:rFonts w:ascii="inherit" w:hAnsi="inherit" w:cs="Arial"/>
          <w:color w:val="000000"/>
          <w:spacing w:val="-1"/>
        </w:rPr>
        <w:t xml:space="preserve"> </w:t>
      </w:r>
      <w:proofErr w:type="spellStart"/>
      <w:r>
        <w:rPr>
          <w:rFonts w:ascii="inherit" w:hAnsi="inherit" w:cs="Arial"/>
          <w:color w:val="000000"/>
          <w:spacing w:val="-1"/>
        </w:rPr>
        <w:t>GYO’nun</w:t>
      </w:r>
      <w:proofErr w:type="spellEnd"/>
      <w:r>
        <w:rPr>
          <w:rFonts w:ascii="inherit" w:hAnsi="inherit" w:cs="Arial"/>
          <w:color w:val="000000"/>
          <w:spacing w:val="-1"/>
        </w:rPr>
        <w:t xml:space="preserve"> payına düşen </w:t>
      </w:r>
      <w:proofErr w:type="gramStart"/>
      <w:r>
        <w:rPr>
          <w:rFonts w:ascii="inherit" w:hAnsi="inherit" w:cs="Arial"/>
          <w:color w:val="000000"/>
          <w:spacing w:val="-1"/>
        </w:rPr>
        <w:t>ekspertiz</w:t>
      </w:r>
      <w:proofErr w:type="gramEnd"/>
      <w:r>
        <w:rPr>
          <w:rFonts w:ascii="inherit" w:hAnsi="inherit" w:cs="Arial"/>
          <w:color w:val="000000"/>
          <w:spacing w:val="-1"/>
        </w:rPr>
        <w:t xml:space="preserve"> değeri KDV hariç 47,4 milyon TL olarak belirlenmiştir.</w:t>
      </w:r>
    </w:p>
    <w:p w:rsidR="000718E9" w:rsidRDefault="000718E9" w:rsidP="000718E9">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Şirket’in 30.06.2025 tarihindeki nakit ve banka mevduatlarının toplam değeri 451.195.373,00 milyon TL’dir.</w:t>
      </w:r>
    </w:p>
    <w:p w:rsidR="000718E9" w:rsidRDefault="000718E9" w:rsidP="000718E9">
      <w:pPr>
        <w:pStyle w:val="Balk2"/>
        <w:spacing w:before="0" w:beforeAutospacing="0" w:after="0" w:afterAutospacing="0" w:line="360" w:lineRule="atLeast"/>
        <w:ind w:left="150" w:right="150"/>
        <w:textAlignment w:val="baseline"/>
        <w:rPr>
          <w:rFonts w:ascii="inherit" w:hAnsi="inherit" w:cs="Arial"/>
          <w:color w:val="0A4975"/>
          <w:spacing w:val="-1"/>
          <w:sz w:val="27"/>
          <w:szCs w:val="27"/>
        </w:rPr>
      </w:pPr>
      <w:r>
        <w:rPr>
          <w:rStyle w:val="Gl"/>
          <w:rFonts w:ascii="inherit" w:hAnsi="inherit" w:cs="Arial"/>
          <w:b/>
          <w:bCs/>
          <w:color w:val="0A4975"/>
          <w:spacing w:val="-1"/>
          <w:sz w:val="27"/>
          <w:szCs w:val="27"/>
          <w:bdr w:val="none" w:sz="0" w:space="0" w:color="auto" w:frame="1"/>
        </w:rPr>
        <w:t>Değerlendirme</w:t>
      </w:r>
    </w:p>
    <w:p w:rsidR="000718E9" w:rsidRDefault="000718E9" w:rsidP="000718E9">
      <w:pPr>
        <w:pStyle w:val="NormalWeb"/>
        <w:spacing w:before="0" w:beforeAutospacing="0" w:after="0" w:afterAutospacing="0" w:line="300" w:lineRule="atLeast"/>
        <w:ind w:left="150" w:right="150"/>
        <w:textAlignment w:val="baseline"/>
        <w:rPr>
          <w:rFonts w:ascii="inherit" w:hAnsi="inherit" w:cs="Arial"/>
          <w:color w:val="000000"/>
          <w:spacing w:val="-1"/>
        </w:rPr>
      </w:pPr>
      <w:r>
        <w:rPr>
          <w:rStyle w:val="Gl"/>
          <w:rFonts w:ascii="inherit" w:hAnsi="inherit" w:cs="Arial"/>
          <w:color w:val="000000"/>
          <w:spacing w:val="-1"/>
          <w:bdr w:val="none" w:sz="0" w:space="0" w:color="auto" w:frame="1"/>
        </w:rPr>
        <w:t>GMYO</w:t>
      </w:r>
      <w:r>
        <w:rPr>
          <w:rFonts w:ascii="inherit" w:hAnsi="inherit" w:cs="Arial"/>
          <w:color w:val="000000"/>
          <w:spacing w:val="-1"/>
        </w:rPr>
        <w:t> sektörü içerisinde 48 şirket yer almaktadır. </w:t>
      </w:r>
    </w:p>
    <w:p w:rsidR="000718E9" w:rsidRDefault="000718E9" w:rsidP="000718E9">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 xml:space="preserve">Şirketlere yönelik hisse değeri tahminlerimizde Net Aktif Değer </w:t>
      </w:r>
      <w:proofErr w:type="spellStart"/>
      <w:r>
        <w:rPr>
          <w:rFonts w:ascii="inherit" w:hAnsi="inherit" w:cs="Arial"/>
          <w:color w:val="000000"/>
          <w:spacing w:val="-1"/>
        </w:rPr>
        <w:t>İskonto</w:t>
      </w:r>
      <w:proofErr w:type="spellEnd"/>
      <w:r>
        <w:rPr>
          <w:rFonts w:ascii="inherit" w:hAnsi="inherit" w:cs="Arial"/>
          <w:color w:val="000000"/>
          <w:spacing w:val="-1"/>
        </w:rPr>
        <w:t xml:space="preserve"> (NAD) ve Piyasa Değeri / Net Aktif Değer </w:t>
      </w:r>
      <w:proofErr w:type="spellStart"/>
      <w:r>
        <w:rPr>
          <w:rFonts w:ascii="inherit" w:hAnsi="inherit" w:cs="Arial"/>
          <w:color w:val="000000"/>
          <w:spacing w:val="-1"/>
        </w:rPr>
        <w:t>İskonto</w:t>
      </w:r>
      <w:proofErr w:type="spellEnd"/>
      <w:r>
        <w:rPr>
          <w:rFonts w:ascii="inherit" w:hAnsi="inherit" w:cs="Arial"/>
          <w:color w:val="000000"/>
          <w:spacing w:val="-1"/>
        </w:rPr>
        <w:t xml:space="preserve"> çarpanının </w:t>
      </w:r>
      <w:proofErr w:type="spellStart"/>
      <w:r>
        <w:rPr>
          <w:rFonts w:ascii="inherit" w:hAnsi="inherit" w:cs="Arial"/>
          <w:color w:val="000000"/>
          <w:spacing w:val="-1"/>
        </w:rPr>
        <w:t>sektörel</w:t>
      </w:r>
      <w:proofErr w:type="spellEnd"/>
      <w:r>
        <w:rPr>
          <w:rFonts w:ascii="inherit" w:hAnsi="inherit" w:cs="Arial"/>
          <w:color w:val="000000"/>
          <w:spacing w:val="-1"/>
        </w:rPr>
        <w:t xml:space="preserve"> </w:t>
      </w:r>
      <w:proofErr w:type="gramStart"/>
      <w:r>
        <w:rPr>
          <w:rFonts w:ascii="inherit" w:hAnsi="inherit" w:cs="Arial"/>
          <w:color w:val="000000"/>
          <w:spacing w:val="-1"/>
        </w:rPr>
        <w:t>bazdaki</w:t>
      </w:r>
      <w:proofErr w:type="gramEnd"/>
      <w:r>
        <w:rPr>
          <w:rFonts w:ascii="inherit" w:hAnsi="inherit" w:cs="Arial"/>
          <w:color w:val="000000"/>
          <w:spacing w:val="-1"/>
        </w:rPr>
        <w:t xml:space="preserve"> değişimi dikkate alınmaktadır.</w:t>
      </w:r>
    </w:p>
    <w:p w:rsidR="000718E9" w:rsidRDefault="000718E9" w:rsidP="000718E9">
      <w:pPr>
        <w:pStyle w:val="NormalWeb"/>
        <w:spacing w:before="0" w:beforeAutospacing="0" w:after="0" w:afterAutospacing="0" w:line="300" w:lineRule="atLeast"/>
        <w:ind w:left="150" w:right="150"/>
        <w:textAlignment w:val="baseline"/>
        <w:rPr>
          <w:rFonts w:ascii="inherit" w:hAnsi="inherit" w:cs="Arial"/>
          <w:color w:val="000000"/>
          <w:spacing w:val="-1"/>
        </w:rPr>
      </w:pPr>
      <w:r>
        <w:rPr>
          <w:rStyle w:val="Vurgu"/>
          <w:rFonts w:ascii="inherit" w:hAnsi="inherit" w:cs="Arial"/>
          <w:color w:val="000000"/>
          <w:spacing w:val="-1"/>
          <w:bdr w:val="none" w:sz="0" w:space="0" w:color="auto" w:frame="1"/>
        </w:rPr>
        <w:t>Bu doğrultuda güncel piyasa değeri 15 milyar TL üzerinde olan 15 şirket dikkate alınarak tahmin yürütülmektedir.</w:t>
      </w:r>
    </w:p>
    <w:p w:rsidR="000718E9" w:rsidRDefault="000718E9" w:rsidP="000718E9">
      <w:pPr>
        <w:pStyle w:val="NormalWeb"/>
        <w:spacing w:before="0" w:beforeAutospacing="0" w:after="0"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Bu hesaplama içerisinde “</w:t>
      </w:r>
      <w:r>
        <w:rPr>
          <w:rFonts w:ascii="inherit" w:hAnsi="inherit" w:cs="Arial"/>
          <w:color w:val="000000"/>
          <w:spacing w:val="-1"/>
          <w:u w:val="single"/>
          <w:bdr w:val="none" w:sz="0" w:space="0" w:color="auto" w:frame="1"/>
        </w:rPr>
        <w:t>finansal dönem</w:t>
      </w:r>
      <w:r>
        <w:rPr>
          <w:rFonts w:ascii="inherit" w:hAnsi="inherit" w:cs="Arial"/>
          <w:color w:val="000000"/>
          <w:spacing w:val="-1"/>
        </w:rPr>
        <w:t>” bölümü özellikle dikkate alınmalıdır. Zira henüz 2. Çeyrek finansal sonuçları açıklanmayan ve 15 milyar TL üzerinde şirketler yer almaktadır.</w:t>
      </w:r>
    </w:p>
    <w:p w:rsidR="000718E9" w:rsidRDefault="000718E9" w:rsidP="000718E9">
      <w:pPr>
        <w:pStyle w:val="NormalWeb"/>
        <w:spacing w:before="0" w:beforeAutospacing="0" w:after="0" w:afterAutospacing="0" w:line="300" w:lineRule="atLeast"/>
        <w:ind w:left="150" w:right="150"/>
        <w:textAlignment w:val="baseline"/>
        <w:rPr>
          <w:rFonts w:ascii="inherit" w:hAnsi="inherit" w:cs="Arial"/>
          <w:color w:val="000000"/>
          <w:spacing w:val="-1"/>
        </w:rPr>
      </w:pPr>
      <w:r>
        <w:rPr>
          <w:rStyle w:val="Vurgu"/>
          <w:rFonts w:ascii="inherit" w:hAnsi="inherit" w:cs="Arial"/>
          <w:color w:val="000000"/>
          <w:spacing w:val="-1"/>
          <w:bdr w:val="none" w:sz="0" w:space="0" w:color="auto" w:frame="1"/>
        </w:rPr>
        <w:t>En güncel haliyle sektör içerisindeki güçlü piyasa değerine sahip olan şirketler dikkate alınarak elde edilen GMYO tahmin tablosu aşağıdadır.</w:t>
      </w:r>
    </w:p>
    <w:p w:rsidR="000718E9" w:rsidRDefault="000718E9" w:rsidP="000718E9">
      <w:pPr>
        <w:pStyle w:val="NormalWeb"/>
        <w:spacing w:before="0" w:beforeAutospacing="0" w:after="0" w:afterAutospacing="0" w:line="300" w:lineRule="atLeast"/>
        <w:ind w:left="150" w:right="150"/>
        <w:textAlignment w:val="baseline"/>
        <w:rPr>
          <w:rFonts w:ascii="inherit" w:hAnsi="inherit" w:cs="Arial"/>
          <w:color w:val="000000"/>
          <w:spacing w:val="-1"/>
        </w:rPr>
      </w:pPr>
      <w:r>
        <w:rPr>
          <w:rStyle w:val="Vurgu"/>
          <w:rFonts w:ascii="inherit" w:hAnsi="inherit" w:cs="Arial"/>
          <w:color w:val="000000"/>
          <w:spacing w:val="-1"/>
          <w:bdr w:val="none" w:sz="0" w:space="0" w:color="auto" w:frame="1"/>
        </w:rPr>
        <w:lastRenderedPageBreak/>
        <w:t> </w:t>
      </w:r>
      <w:r>
        <w:rPr>
          <w:rFonts w:ascii="inherit" w:hAnsi="inherit" w:cs="Arial"/>
          <w:i/>
          <w:iCs/>
          <w:noProof/>
          <w:color w:val="000000"/>
          <w:spacing w:val="-1"/>
          <w:bdr w:val="none" w:sz="0" w:space="0" w:color="auto" w:frame="1"/>
        </w:rPr>
        <w:drawing>
          <wp:inline distT="0" distB="0" distL="0" distR="0">
            <wp:extent cx="13792200" cy="4314825"/>
            <wp:effectExtent l="0" t="0" r="0" b="9525"/>
            <wp:docPr id="1" name="Resim 1" descr="https://www.gcmyatirim.com.tr/wp-content/uploads/2025/08/12/iskonto_1754999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cmyatirim.com.tr/wp-content/uploads/2025/08/12/iskonto_17549999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0" cy="4314825"/>
                    </a:xfrm>
                    <a:prstGeom prst="rect">
                      <a:avLst/>
                    </a:prstGeom>
                    <a:noFill/>
                    <a:ln>
                      <a:noFill/>
                    </a:ln>
                  </pic:spPr>
                </pic:pic>
              </a:graphicData>
            </a:graphic>
          </wp:inline>
        </w:drawing>
      </w:r>
    </w:p>
    <w:p w:rsidR="000718E9" w:rsidRDefault="000718E9" w:rsidP="000718E9">
      <w:pPr>
        <w:pStyle w:val="NormalWeb"/>
        <w:spacing w:before="0" w:beforeAutospacing="0" w:after="0"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Finansal sonuçlarını açıkladığımız </w:t>
      </w:r>
      <w:r>
        <w:rPr>
          <w:rStyle w:val="Gl"/>
          <w:rFonts w:ascii="inherit" w:hAnsi="inherit" w:cs="Arial"/>
          <w:color w:val="000000"/>
          <w:spacing w:val="-1"/>
          <w:bdr w:val="none" w:sz="0" w:space="0" w:color="auto" w:frame="1"/>
        </w:rPr>
        <w:t>AVPGY</w:t>
      </w:r>
      <w:r>
        <w:rPr>
          <w:rFonts w:ascii="inherit" w:hAnsi="inherit" w:cs="Arial"/>
          <w:color w:val="000000"/>
          <w:spacing w:val="-1"/>
        </w:rPr>
        <w:t xml:space="preserve"> özeline baktığımızda ise kendi göstergelerine paralel hesaplanan NAD modelinde %44’lük </w:t>
      </w:r>
      <w:proofErr w:type="spellStart"/>
      <w:r>
        <w:rPr>
          <w:rFonts w:ascii="inherit" w:hAnsi="inherit" w:cs="Arial"/>
          <w:color w:val="000000"/>
          <w:spacing w:val="-1"/>
        </w:rPr>
        <w:t>iskontoya</w:t>
      </w:r>
      <w:proofErr w:type="spellEnd"/>
      <w:r>
        <w:rPr>
          <w:rFonts w:ascii="inherit" w:hAnsi="inherit" w:cs="Arial"/>
          <w:color w:val="000000"/>
          <w:spacing w:val="-1"/>
        </w:rPr>
        <w:t xml:space="preserve"> sahip olmakla birlikte hem kendi hem de sektör göstergelerine bütünsel modelleme çalışmamız ile birleştirdiğimizde, şirkete yönelik hedef fiyat tahminimiz 109,33 TL ve %66 iskontolu olarak değerlendirmekteyiz.</w:t>
      </w:r>
    </w:p>
    <w:p w:rsidR="00376999" w:rsidRPr="000718E9" w:rsidRDefault="00376999" w:rsidP="000718E9"/>
    <w:sectPr w:rsidR="00376999" w:rsidRPr="00071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1490E"/>
    <w:multiLevelType w:val="multilevel"/>
    <w:tmpl w:val="AF4A2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A9"/>
    <w:rsid w:val="000718E9"/>
    <w:rsid w:val="002D4617"/>
    <w:rsid w:val="00376999"/>
    <w:rsid w:val="005F5CCC"/>
    <w:rsid w:val="00605F2F"/>
    <w:rsid w:val="00641AA9"/>
    <w:rsid w:val="00665D52"/>
    <w:rsid w:val="00CC2001"/>
    <w:rsid w:val="00EA4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B7CF9-F06F-4988-BF27-BB1D255C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17"/>
    <w:pPr>
      <w:spacing w:after="0" w:line="240" w:lineRule="auto"/>
    </w:pPr>
    <w:rPr>
      <w:rFonts w:ascii="Times New Roman" w:hAnsi="Times New Roman" w:cs="Times New Roman"/>
      <w:sz w:val="24"/>
      <w:szCs w:val="24"/>
      <w:lang w:eastAsia="tr-TR"/>
    </w:rPr>
  </w:style>
  <w:style w:type="paragraph" w:styleId="Balk1">
    <w:name w:val="heading 1"/>
    <w:basedOn w:val="Normal"/>
    <w:link w:val="Balk1Char"/>
    <w:uiPriority w:val="9"/>
    <w:qFormat/>
    <w:rsid w:val="00EA45C3"/>
    <w:pPr>
      <w:spacing w:before="100" w:beforeAutospacing="1" w:after="100" w:afterAutospacing="1"/>
      <w:outlineLvl w:val="0"/>
    </w:pPr>
    <w:rPr>
      <w:rFonts w:eastAsia="Times New Roman"/>
      <w:b/>
      <w:bCs/>
      <w:kern w:val="36"/>
      <w:sz w:val="48"/>
      <w:szCs w:val="48"/>
    </w:rPr>
  </w:style>
  <w:style w:type="paragraph" w:styleId="Balk2">
    <w:name w:val="heading 2"/>
    <w:basedOn w:val="Normal"/>
    <w:link w:val="Balk2Char"/>
    <w:uiPriority w:val="9"/>
    <w:qFormat/>
    <w:rsid w:val="00EA45C3"/>
    <w:pPr>
      <w:spacing w:before="100" w:beforeAutospacing="1" w:after="100" w:afterAutospacing="1"/>
      <w:outlineLvl w:val="1"/>
    </w:pPr>
    <w:rPr>
      <w:rFonts w:eastAsia="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41AA9"/>
    <w:pPr>
      <w:spacing w:before="100" w:beforeAutospacing="1" w:after="100" w:afterAutospacing="1"/>
    </w:pPr>
    <w:rPr>
      <w:rFonts w:eastAsia="Times New Roman"/>
    </w:rPr>
  </w:style>
  <w:style w:type="character" w:styleId="Gl">
    <w:name w:val="Strong"/>
    <w:basedOn w:val="VarsaylanParagrafYazTipi"/>
    <w:uiPriority w:val="22"/>
    <w:qFormat/>
    <w:rsid w:val="00641AA9"/>
    <w:rPr>
      <w:b/>
      <w:bCs/>
    </w:rPr>
  </w:style>
  <w:style w:type="character" w:customStyle="1" w:styleId="Balk1Char">
    <w:name w:val="Başlık 1 Char"/>
    <w:basedOn w:val="VarsaylanParagrafYazTipi"/>
    <w:link w:val="Balk1"/>
    <w:uiPriority w:val="9"/>
    <w:rsid w:val="00EA45C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A45C3"/>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A45C3"/>
    <w:rPr>
      <w:color w:val="0000FF"/>
      <w:u w:val="single"/>
    </w:rPr>
  </w:style>
  <w:style w:type="character" w:styleId="Vurgu">
    <w:name w:val="Emphasis"/>
    <w:basedOn w:val="VarsaylanParagrafYazTipi"/>
    <w:uiPriority w:val="20"/>
    <w:qFormat/>
    <w:rsid w:val="000718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8682">
      <w:bodyDiv w:val="1"/>
      <w:marLeft w:val="0"/>
      <w:marRight w:val="0"/>
      <w:marTop w:val="0"/>
      <w:marBottom w:val="0"/>
      <w:divBdr>
        <w:top w:val="none" w:sz="0" w:space="0" w:color="auto"/>
        <w:left w:val="none" w:sz="0" w:space="0" w:color="auto"/>
        <w:bottom w:val="none" w:sz="0" w:space="0" w:color="auto"/>
        <w:right w:val="none" w:sz="0" w:space="0" w:color="auto"/>
      </w:divBdr>
    </w:div>
    <w:div w:id="139542842">
      <w:bodyDiv w:val="1"/>
      <w:marLeft w:val="0"/>
      <w:marRight w:val="0"/>
      <w:marTop w:val="0"/>
      <w:marBottom w:val="0"/>
      <w:divBdr>
        <w:top w:val="none" w:sz="0" w:space="0" w:color="auto"/>
        <w:left w:val="none" w:sz="0" w:space="0" w:color="auto"/>
        <w:bottom w:val="none" w:sz="0" w:space="0" w:color="auto"/>
        <w:right w:val="none" w:sz="0" w:space="0" w:color="auto"/>
      </w:divBdr>
      <w:divsChild>
        <w:div w:id="475146319">
          <w:marLeft w:val="0"/>
          <w:marRight w:val="0"/>
          <w:marTop w:val="0"/>
          <w:marBottom w:val="300"/>
          <w:divBdr>
            <w:top w:val="single" w:sz="6" w:space="19" w:color="E4E9F2"/>
            <w:left w:val="none" w:sz="0" w:space="26" w:color="auto"/>
            <w:bottom w:val="single" w:sz="6" w:space="19" w:color="E4E9F2"/>
            <w:right w:val="none" w:sz="0" w:space="26" w:color="auto"/>
          </w:divBdr>
          <w:divsChild>
            <w:div w:id="1440294935">
              <w:marLeft w:val="0"/>
              <w:marRight w:val="0"/>
              <w:marTop w:val="0"/>
              <w:marBottom w:val="0"/>
              <w:divBdr>
                <w:top w:val="none" w:sz="0" w:space="0" w:color="auto"/>
                <w:left w:val="none" w:sz="0" w:space="0" w:color="auto"/>
                <w:bottom w:val="none" w:sz="0" w:space="0" w:color="auto"/>
                <w:right w:val="none" w:sz="0" w:space="0" w:color="auto"/>
              </w:divBdr>
              <w:divsChild>
                <w:div w:id="1169491367">
                  <w:marLeft w:val="0"/>
                  <w:marRight w:val="0"/>
                  <w:marTop w:val="0"/>
                  <w:marBottom w:val="0"/>
                  <w:divBdr>
                    <w:top w:val="none" w:sz="0" w:space="0" w:color="auto"/>
                    <w:left w:val="none" w:sz="0" w:space="0" w:color="auto"/>
                    <w:bottom w:val="none" w:sz="0" w:space="0" w:color="auto"/>
                    <w:right w:val="none" w:sz="0" w:space="0" w:color="auto"/>
                  </w:divBdr>
                  <w:divsChild>
                    <w:div w:id="18802382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92223840">
          <w:marLeft w:val="0"/>
          <w:marRight w:val="0"/>
          <w:marTop w:val="0"/>
          <w:marBottom w:val="0"/>
          <w:divBdr>
            <w:top w:val="none" w:sz="0" w:space="0" w:color="auto"/>
            <w:left w:val="none" w:sz="0" w:space="0" w:color="auto"/>
            <w:bottom w:val="none" w:sz="0" w:space="0" w:color="auto"/>
            <w:right w:val="none" w:sz="0" w:space="0" w:color="auto"/>
          </w:divBdr>
          <w:divsChild>
            <w:div w:id="1170363861">
              <w:marLeft w:val="0"/>
              <w:marRight w:val="0"/>
              <w:marTop w:val="0"/>
              <w:marBottom w:val="0"/>
              <w:divBdr>
                <w:top w:val="none" w:sz="0" w:space="0" w:color="auto"/>
                <w:left w:val="none" w:sz="0" w:space="0" w:color="auto"/>
                <w:bottom w:val="none" w:sz="0" w:space="0" w:color="auto"/>
                <w:right w:val="none" w:sz="0" w:space="0" w:color="auto"/>
              </w:divBdr>
              <w:divsChild>
                <w:div w:id="19108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357474">
      <w:bodyDiv w:val="1"/>
      <w:marLeft w:val="0"/>
      <w:marRight w:val="0"/>
      <w:marTop w:val="0"/>
      <w:marBottom w:val="0"/>
      <w:divBdr>
        <w:top w:val="none" w:sz="0" w:space="0" w:color="auto"/>
        <w:left w:val="none" w:sz="0" w:space="0" w:color="auto"/>
        <w:bottom w:val="none" w:sz="0" w:space="0" w:color="auto"/>
        <w:right w:val="none" w:sz="0" w:space="0" w:color="auto"/>
      </w:divBdr>
    </w:div>
    <w:div w:id="1008554995">
      <w:bodyDiv w:val="1"/>
      <w:marLeft w:val="0"/>
      <w:marRight w:val="0"/>
      <w:marTop w:val="0"/>
      <w:marBottom w:val="0"/>
      <w:divBdr>
        <w:top w:val="none" w:sz="0" w:space="0" w:color="auto"/>
        <w:left w:val="none" w:sz="0" w:space="0" w:color="auto"/>
        <w:bottom w:val="none" w:sz="0" w:space="0" w:color="auto"/>
        <w:right w:val="none" w:sz="0" w:space="0" w:color="auto"/>
      </w:divBdr>
    </w:div>
    <w:div w:id="1453745326">
      <w:bodyDiv w:val="1"/>
      <w:marLeft w:val="0"/>
      <w:marRight w:val="0"/>
      <w:marTop w:val="0"/>
      <w:marBottom w:val="0"/>
      <w:divBdr>
        <w:top w:val="none" w:sz="0" w:space="0" w:color="auto"/>
        <w:left w:val="none" w:sz="0" w:space="0" w:color="auto"/>
        <w:bottom w:val="none" w:sz="0" w:space="0" w:color="auto"/>
        <w:right w:val="none" w:sz="0" w:space="0" w:color="auto"/>
      </w:divBdr>
    </w:div>
    <w:div w:id="1969896783">
      <w:bodyDiv w:val="1"/>
      <w:marLeft w:val="0"/>
      <w:marRight w:val="0"/>
      <w:marTop w:val="0"/>
      <w:marBottom w:val="0"/>
      <w:divBdr>
        <w:top w:val="none" w:sz="0" w:space="0" w:color="auto"/>
        <w:left w:val="none" w:sz="0" w:space="0" w:color="auto"/>
        <w:bottom w:val="none" w:sz="0" w:space="0" w:color="auto"/>
        <w:right w:val="none" w:sz="0" w:space="0" w:color="auto"/>
      </w:divBdr>
      <w:divsChild>
        <w:div w:id="92475908">
          <w:marLeft w:val="0"/>
          <w:marRight w:val="0"/>
          <w:marTop w:val="0"/>
          <w:marBottom w:val="300"/>
          <w:divBdr>
            <w:top w:val="single" w:sz="6" w:space="19" w:color="E4E9F2"/>
            <w:left w:val="none" w:sz="0" w:space="26" w:color="auto"/>
            <w:bottom w:val="single" w:sz="6" w:space="19" w:color="E4E9F2"/>
            <w:right w:val="none" w:sz="0" w:space="26" w:color="auto"/>
          </w:divBdr>
          <w:divsChild>
            <w:div w:id="228076487">
              <w:marLeft w:val="0"/>
              <w:marRight w:val="0"/>
              <w:marTop w:val="0"/>
              <w:marBottom w:val="0"/>
              <w:divBdr>
                <w:top w:val="none" w:sz="0" w:space="0" w:color="auto"/>
                <w:left w:val="none" w:sz="0" w:space="0" w:color="auto"/>
                <w:bottom w:val="none" w:sz="0" w:space="0" w:color="auto"/>
                <w:right w:val="none" w:sz="0" w:space="0" w:color="auto"/>
              </w:divBdr>
              <w:divsChild>
                <w:div w:id="1984658778">
                  <w:marLeft w:val="0"/>
                  <w:marRight w:val="0"/>
                  <w:marTop w:val="0"/>
                  <w:marBottom w:val="0"/>
                  <w:divBdr>
                    <w:top w:val="none" w:sz="0" w:space="0" w:color="auto"/>
                    <w:left w:val="none" w:sz="0" w:space="0" w:color="auto"/>
                    <w:bottom w:val="none" w:sz="0" w:space="0" w:color="auto"/>
                    <w:right w:val="none" w:sz="0" w:space="0" w:color="auto"/>
                  </w:divBdr>
                  <w:divsChild>
                    <w:div w:id="7533543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2990162">
          <w:marLeft w:val="0"/>
          <w:marRight w:val="0"/>
          <w:marTop w:val="0"/>
          <w:marBottom w:val="0"/>
          <w:divBdr>
            <w:top w:val="none" w:sz="0" w:space="0" w:color="auto"/>
            <w:left w:val="none" w:sz="0" w:space="0" w:color="auto"/>
            <w:bottom w:val="none" w:sz="0" w:space="0" w:color="auto"/>
            <w:right w:val="none" w:sz="0" w:space="0" w:color="auto"/>
          </w:divBdr>
          <w:divsChild>
            <w:div w:id="219831206">
              <w:marLeft w:val="0"/>
              <w:marRight w:val="0"/>
              <w:marTop w:val="0"/>
              <w:marBottom w:val="0"/>
              <w:divBdr>
                <w:top w:val="none" w:sz="0" w:space="0" w:color="auto"/>
                <w:left w:val="none" w:sz="0" w:space="0" w:color="auto"/>
                <w:bottom w:val="none" w:sz="0" w:space="0" w:color="auto"/>
                <w:right w:val="none" w:sz="0" w:space="0" w:color="auto"/>
              </w:divBdr>
              <w:divsChild>
                <w:div w:id="1085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8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cmyatirim.com.tr/borsa/hisse/avrupakent-gayrimenkul-yatirim-ortakligi-a-s" TargetMode="External"/><Relationship Id="rId5" Type="http://schemas.openxmlformats.org/officeDocument/2006/relationships/hyperlink" Target="https://www.gcmyatirim.com.tr/yazarlar/gcm-yatiri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2025-08-10T15:20:00Z</dcterms:created>
  <dcterms:modified xsi:type="dcterms:W3CDTF">2025-08-12T12:08:00Z</dcterms:modified>
</cp:coreProperties>
</file>