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C8" w:rsidRPr="00577FC8" w:rsidRDefault="00577FC8" w:rsidP="00577FC8">
      <w:pPr>
        <w:spacing w:after="75" w:line="360" w:lineRule="atLeast"/>
        <w:textAlignment w:val="baseline"/>
        <w:outlineLvl w:val="0"/>
        <w:rPr>
          <w:rFonts w:ascii="inherit" w:eastAsia="Times New Roman" w:hAnsi="inherit" w:cs="Arial"/>
          <w:b/>
          <w:bCs/>
          <w:color w:val="1D567D"/>
          <w:spacing w:val="-1"/>
          <w:kern w:val="36"/>
          <w:sz w:val="33"/>
          <w:szCs w:val="33"/>
          <w:lang w:eastAsia="tr-TR"/>
        </w:rPr>
      </w:pPr>
      <w:r w:rsidRPr="00577FC8">
        <w:rPr>
          <w:rFonts w:ascii="inherit" w:eastAsia="Times New Roman" w:hAnsi="inherit" w:cs="Arial"/>
          <w:b/>
          <w:bCs/>
          <w:color w:val="1D567D"/>
          <w:spacing w:val="-1"/>
          <w:kern w:val="36"/>
          <w:sz w:val="33"/>
          <w:szCs w:val="33"/>
          <w:lang w:eastAsia="tr-TR"/>
        </w:rPr>
        <w:t>Doğan Holding (DOHOL) 2025 2. Çeyrek Bilanço Analizi</w:t>
      </w:r>
    </w:p>
    <w:p w:rsidR="00577FC8" w:rsidRPr="00577FC8" w:rsidRDefault="00EF0705" w:rsidP="00577FC8">
      <w:pPr>
        <w:spacing w:line="330" w:lineRule="atLeast"/>
        <w:textAlignment w:val="baseline"/>
        <w:rPr>
          <w:rFonts w:ascii="inherit" w:eastAsia="Times New Roman" w:hAnsi="inherit" w:cs="Arial"/>
          <w:color w:val="5F676F"/>
          <w:spacing w:val="-1"/>
          <w:sz w:val="24"/>
          <w:szCs w:val="24"/>
          <w:lang w:eastAsia="tr-TR"/>
        </w:rPr>
      </w:pPr>
      <w:r>
        <w:rPr>
          <w:rFonts w:ascii="inherit" w:eastAsia="Times New Roman" w:hAnsi="inherit" w:cs="Arial"/>
          <w:color w:val="5F676F"/>
          <w:spacing w:val="-1"/>
          <w:sz w:val="24"/>
          <w:szCs w:val="24"/>
          <w:bdr w:val="none" w:sz="0" w:space="0" w:color="auto" w:frame="1"/>
          <w:lang w:eastAsia="tr-TR"/>
        </w:rPr>
        <w:t xml:space="preserve">13 Ağustos 2025 GCM </w:t>
      </w:r>
      <w:proofErr w:type="spellStart"/>
      <w:r>
        <w:rPr>
          <w:rFonts w:ascii="inherit" w:eastAsia="Times New Roman" w:hAnsi="inherit" w:cs="Arial"/>
          <w:color w:val="5F676F"/>
          <w:spacing w:val="-1"/>
          <w:sz w:val="24"/>
          <w:szCs w:val="24"/>
          <w:bdr w:val="none" w:sz="0" w:space="0" w:color="auto" w:frame="1"/>
          <w:lang w:eastAsia="tr-TR"/>
        </w:rPr>
        <w:t>Araştırma&amp;Analiz</w:t>
      </w:r>
      <w:proofErr w:type="spellEnd"/>
      <w:r>
        <w:rPr>
          <w:rFonts w:ascii="inherit" w:eastAsia="Times New Roman" w:hAnsi="inherit" w:cs="Arial"/>
          <w:color w:val="5F676F"/>
          <w:spacing w:val="-1"/>
          <w:sz w:val="24"/>
          <w:szCs w:val="24"/>
          <w:bdr w:val="none" w:sz="0" w:space="0" w:color="auto" w:frame="1"/>
          <w:lang w:eastAsia="tr-TR"/>
        </w:rPr>
        <w:t xml:space="preserve"> </w:t>
      </w:r>
      <w:r w:rsidR="00577FC8" w:rsidRPr="00577FC8">
        <w:rPr>
          <w:rFonts w:ascii="inherit" w:eastAsia="Times New Roman" w:hAnsi="inherit" w:cs="Arial"/>
          <w:color w:val="5F676F"/>
          <w:spacing w:val="-1"/>
          <w:sz w:val="24"/>
          <w:szCs w:val="24"/>
          <w:bdr w:val="none" w:sz="0" w:space="0" w:color="auto" w:frame="1"/>
          <w:lang w:eastAsia="tr-TR"/>
        </w:rPr>
        <w:t xml:space="preserve">- Araştırma &amp; </w:t>
      </w:r>
      <w:proofErr w:type="spellStart"/>
      <w:r w:rsidR="00577FC8" w:rsidRPr="00577FC8">
        <w:rPr>
          <w:rFonts w:ascii="inherit" w:eastAsia="Times New Roman" w:hAnsi="inherit" w:cs="Arial"/>
          <w:color w:val="5F676F"/>
          <w:spacing w:val="-1"/>
          <w:sz w:val="24"/>
          <w:szCs w:val="24"/>
          <w:bdr w:val="none" w:sz="0" w:space="0" w:color="auto" w:frame="1"/>
          <w:lang w:eastAsia="tr-TR"/>
        </w:rPr>
        <w:t>AnalizBorsa</w:t>
      </w:r>
      <w:proofErr w:type="spellEnd"/>
    </w:p>
    <w:p w:rsidR="00577FC8" w:rsidRPr="00577FC8" w:rsidRDefault="00577FC8" w:rsidP="00577FC8">
      <w:pPr>
        <w:spacing w:after="0" w:line="360" w:lineRule="atLeast"/>
        <w:ind w:left="150" w:right="150"/>
        <w:textAlignment w:val="baseline"/>
        <w:outlineLvl w:val="1"/>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 xml:space="preserve">DOHOL 2Ç25: Gelir, FAVÖK ve </w:t>
      </w:r>
      <w:proofErr w:type="spellStart"/>
      <w:r w:rsidRPr="00577FC8">
        <w:rPr>
          <w:rFonts w:ascii="inherit" w:eastAsia="Times New Roman" w:hAnsi="inherit" w:cs="Arial"/>
          <w:b/>
          <w:bCs/>
          <w:color w:val="0A4975"/>
          <w:spacing w:val="-1"/>
          <w:sz w:val="27"/>
          <w:szCs w:val="27"/>
          <w:bdr w:val="none" w:sz="0" w:space="0" w:color="auto" w:frame="1"/>
          <w:lang w:eastAsia="tr-TR"/>
        </w:rPr>
        <w:t>Segment</w:t>
      </w:r>
      <w:proofErr w:type="spellEnd"/>
      <w:r w:rsidRPr="00577FC8">
        <w:rPr>
          <w:rFonts w:ascii="inherit" w:eastAsia="Times New Roman" w:hAnsi="inherit" w:cs="Arial"/>
          <w:b/>
          <w:bCs/>
          <w:color w:val="0A4975"/>
          <w:spacing w:val="-1"/>
          <w:sz w:val="27"/>
          <w:szCs w:val="27"/>
          <w:bdr w:val="none" w:sz="0" w:space="0" w:color="auto" w:frame="1"/>
          <w:lang w:eastAsia="tr-TR"/>
        </w:rPr>
        <w:t xml:space="preserve"> Bazlı Gelişmeler</w:t>
      </w:r>
    </w:p>
    <w:p w:rsidR="00577FC8" w:rsidRPr="00577FC8" w:rsidRDefault="00EF0705"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Pr>
          <w:rFonts w:ascii="inherit" w:eastAsia="Times New Roman" w:hAnsi="inherit" w:cs="Arial"/>
          <w:color w:val="000000"/>
          <w:spacing w:val="-1"/>
          <w:sz w:val="24"/>
          <w:szCs w:val="24"/>
          <w:lang w:eastAsia="tr-TR"/>
        </w:rPr>
        <w:t xml:space="preserve">Doğan Holding #DOHOL </w:t>
      </w:r>
      <w:r w:rsidR="00577FC8" w:rsidRPr="00577FC8">
        <w:rPr>
          <w:rFonts w:ascii="inherit" w:eastAsia="Times New Roman" w:hAnsi="inherit" w:cs="Arial"/>
          <w:color w:val="000000"/>
          <w:spacing w:val="-1"/>
          <w:sz w:val="24"/>
          <w:szCs w:val="24"/>
          <w:lang w:eastAsia="tr-TR"/>
        </w:rPr>
        <w:t>2025 yılı 2.çeyreğinde 75.413 milyon TL net kar açıkladı. Zarardan kara geçişi olumlu değerl</w:t>
      </w:r>
      <w:bookmarkStart w:id="0" w:name="_GoBack"/>
      <w:bookmarkEnd w:id="0"/>
      <w:r w:rsidR="00577FC8" w:rsidRPr="00577FC8">
        <w:rPr>
          <w:rFonts w:ascii="inherit" w:eastAsia="Times New Roman" w:hAnsi="inherit" w:cs="Arial"/>
          <w:color w:val="000000"/>
          <w:spacing w:val="-1"/>
          <w:sz w:val="24"/>
          <w:szCs w:val="24"/>
          <w:lang w:eastAsia="tr-TR"/>
        </w:rPr>
        <w:t>endiriyoruz. İlaveten artan solo nakit pozisyonunun net kar üzerinde destekleyici olduğunu, parasal kazanç/kayıp kaleminde oluşan 772 milyon TL’lik kaybın ise performansı sınırladığı söylenebilir.</w:t>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noProof/>
          <w:color w:val="000000"/>
          <w:spacing w:val="-1"/>
          <w:sz w:val="24"/>
          <w:szCs w:val="24"/>
          <w:bdr w:val="none" w:sz="0" w:space="0" w:color="auto" w:frame="1"/>
          <w:lang w:eastAsia="tr-TR"/>
        </w:rPr>
        <w:drawing>
          <wp:inline distT="0" distB="0" distL="0" distR="0">
            <wp:extent cx="11525250" cy="6467475"/>
            <wp:effectExtent l="0" t="0" r="0" b="9525"/>
            <wp:docPr id="3" name="Resim 3" descr="https://www.gcmyatirim.com.tr/wp-content/uploads/2025/08/13/tablo_1755073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8/13/tablo_17550732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0" cy="6467475"/>
                    </a:xfrm>
                    <a:prstGeom prst="rect">
                      <a:avLst/>
                    </a:prstGeom>
                    <a:noFill/>
                    <a:ln>
                      <a:noFill/>
                    </a:ln>
                  </pic:spPr>
                </pic:pic>
              </a:graphicData>
            </a:graphic>
          </wp:inline>
        </w:drawing>
      </w:r>
    </w:p>
    <w:p w:rsidR="00577FC8" w:rsidRPr="00577FC8" w:rsidRDefault="00577FC8" w:rsidP="00577FC8">
      <w:pPr>
        <w:spacing w:after="0" w:line="360" w:lineRule="atLeast"/>
        <w:ind w:left="150" w:right="150"/>
        <w:textAlignment w:val="baseline"/>
        <w:outlineLvl w:val="1"/>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Finansal Performans</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Satış gelirleri geçtiğimiz yılın aynı dönemine göre %0,3 artış kaydederek 13,12 milyar TL olarak gerçekleşti. Bir önceki çeyreğe göre ise satış gelirlerinde %18 oranında artış izlendi. Doğan Holding, 2025 yılının ikinci çeyreğinde 21,8 milyar TL toplam gelir elde ederek, </w:t>
      </w:r>
      <w:r w:rsidRPr="00577FC8">
        <w:rPr>
          <w:rFonts w:ascii="inherit" w:eastAsia="Times New Roman" w:hAnsi="inherit" w:cs="Arial"/>
          <w:color w:val="000000"/>
          <w:spacing w:val="-1"/>
          <w:sz w:val="24"/>
          <w:szCs w:val="24"/>
          <w:lang w:eastAsia="tr-TR"/>
        </w:rPr>
        <w:lastRenderedPageBreak/>
        <w:t>geçen yılın aynı dönemine göre %4 büyüme kaydetti. Doğan Trend Otomotiv’in etkisi hariç tutulduğunda ise gelir artışı %8’e denk gelmektedir.</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proofErr w:type="spellStart"/>
      <w:r w:rsidRPr="00577FC8">
        <w:rPr>
          <w:rFonts w:ascii="inherit" w:eastAsia="Times New Roman" w:hAnsi="inherit" w:cs="Arial"/>
          <w:color w:val="000000"/>
          <w:spacing w:val="-1"/>
          <w:sz w:val="24"/>
          <w:szCs w:val="24"/>
          <w:lang w:eastAsia="tr-TR"/>
        </w:rPr>
        <w:t>Hepiyi</w:t>
      </w:r>
      <w:proofErr w:type="spellEnd"/>
      <w:r w:rsidRPr="00577FC8">
        <w:rPr>
          <w:rFonts w:ascii="inherit" w:eastAsia="Times New Roman" w:hAnsi="inherit" w:cs="Arial"/>
          <w:color w:val="000000"/>
          <w:spacing w:val="-1"/>
          <w:sz w:val="24"/>
          <w:szCs w:val="24"/>
          <w:lang w:eastAsia="tr-TR"/>
        </w:rPr>
        <w:t xml:space="preserve"> Sigorta, </w:t>
      </w:r>
      <w:proofErr w:type="gramStart"/>
      <w:r w:rsidRPr="00577FC8">
        <w:rPr>
          <w:rFonts w:ascii="inherit" w:eastAsia="Times New Roman" w:hAnsi="inherit" w:cs="Arial"/>
          <w:color w:val="000000"/>
          <w:spacing w:val="-1"/>
          <w:sz w:val="24"/>
          <w:szCs w:val="24"/>
          <w:lang w:eastAsia="tr-TR"/>
        </w:rPr>
        <w:t>portföy</w:t>
      </w:r>
      <w:proofErr w:type="gramEnd"/>
      <w:r w:rsidRPr="00577FC8">
        <w:rPr>
          <w:rFonts w:ascii="inherit" w:eastAsia="Times New Roman" w:hAnsi="inherit" w:cs="Arial"/>
          <w:color w:val="000000"/>
          <w:spacing w:val="-1"/>
          <w:sz w:val="24"/>
          <w:szCs w:val="24"/>
          <w:lang w:eastAsia="tr-TR"/>
        </w:rPr>
        <w:t xml:space="preserve"> büyüklüğünü neredeyse iki katına çıkararak yıllık bazda %10 reel gelir artışı kaydetti. Elektrik üretimindeki %12’lik artış ve </w:t>
      </w:r>
      <w:proofErr w:type="spellStart"/>
      <w:r w:rsidRPr="00577FC8">
        <w:rPr>
          <w:rFonts w:ascii="inherit" w:eastAsia="Times New Roman" w:hAnsi="inherit" w:cs="Arial"/>
          <w:color w:val="000000"/>
          <w:spacing w:val="-1"/>
          <w:sz w:val="24"/>
          <w:szCs w:val="24"/>
          <w:lang w:eastAsia="tr-TR"/>
        </w:rPr>
        <w:t>PTF’deki</w:t>
      </w:r>
      <w:proofErr w:type="spellEnd"/>
      <w:r w:rsidRPr="00577FC8">
        <w:rPr>
          <w:rFonts w:ascii="inherit" w:eastAsia="Times New Roman" w:hAnsi="inherit" w:cs="Arial"/>
          <w:color w:val="000000"/>
          <w:spacing w:val="-1"/>
          <w:sz w:val="24"/>
          <w:szCs w:val="24"/>
          <w:lang w:eastAsia="tr-TR"/>
        </w:rPr>
        <w:t xml:space="preserve"> (piyasa takas fiyatı) %18’lik yükseliş, Galata </w:t>
      </w:r>
      <w:proofErr w:type="spellStart"/>
      <w:r w:rsidRPr="00577FC8">
        <w:rPr>
          <w:rFonts w:ascii="inherit" w:eastAsia="Times New Roman" w:hAnsi="inherit" w:cs="Arial"/>
          <w:color w:val="000000"/>
          <w:spacing w:val="-1"/>
          <w:sz w:val="24"/>
          <w:szCs w:val="24"/>
          <w:lang w:eastAsia="tr-TR"/>
        </w:rPr>
        <w:t>Wind’in</w:t>
      </w:r>
      <w:proofErr w:type="spellEnd"/>
      <w:r w:rsidRPr="00577FC8">
        <w:rPr>
          <w:rFonts w:ascii="inherit" w:eastAsia="Times New Roman" w:hAnsi="inherit" w:cs="Arial"/>
          <w:color w:val="000000"/>
          <w:spacing w:val="-1"/>
          <w:sz w:val="24"/>
          <w:szCs w:val="24"/>
          <w:lang w:eastAsia="tr-TR"/>
        </w:rPr>
        <w:t xml:space="preserve"> gelir performansını destekledi. Buna karşın binek araç satışları yıllık </w:t>
      </w:r>
      <w:proofErr w:type="gramStart"/>
      <w:r w:rsidRPr="00577FC8">
        <w:rPr>
          <w:rFonts w:ascii="inherit" w:eastAsia="Times New Roman" w:hAnsi="inherit" w:cs="Arial"/>
          <w:color w:val="000000"/>
          <w:spacing w:val="-1"/>
          <w:sz w:val="24"/>
          <w:szCs w:val="24"/>
          <w:lang w:eastAsia="tr-TR"/>
        </w:rPr>
        <w:t>bazda</w:t>
      </w:r>
      <w:proofErr w:type="gramEnd"/>
      <w:r w:rsidRPr="00577FC8">
        <w:rPr>
          <w:rFonts w:ascii="inherit" w:eastAsia="Times New Roman" w:hAnsi="inherit" w:cs="Arial"/>
          <w:color w:val="000000"/>
          <w:spacing w:val="-1"/>
          <w:sz w:val="24"/>
          <w:szCs w:val="24"/>
          <w:lang w:eastAsia="tr-TR"/>
        </w:rPr>
        <w:t xml:space="preserve"> %67 gerilerken, artan stok tasfiyesi sayesinde gelirlerdeki düşüş 2Ç25’te %7 ile sınırlı kaldı.</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Net kar </w:t>
      </w:r>
      <w:proofErr w:type="gramStart"/>
      <w:r w:rsidRPr="00577FC8">
        <w:rPr>
          <w:rFonts w:ascii="inherit" w:eastAsia="Times New Roman" w:hAnsi="inherit" w:cs="Arial"/>
          <w:color w:val="000000"/>
          <w:spacing w:val="-1"/>
          <w:sz w:val="24"/>
          <w:szCs w:val="24"/>
          <w:lang w:eastAsia="tr-TR"/>
        </w:rPr>
        <w:t>marjı</w:t>
      </w:r>
      <w:proofErr w:type="gramEnd"/>
      <w:r w:rsidRPr="00577FC8">
        <w:rPr>
          <w:rFonts w:ascii="inherit" w:eastAsia="Times New Roman" w:hAnsi="inherit" w:cs="Arial"/>
          <w:color w:val="000000"/>
          <w:spacing w:val="-1"/>
          <w:sz w:val="24"/>
          <w:szCs w:val="24"/>
          <w:lang w:eastAsia="tr-TR"/>
        </w:rPr>
        <w:t xml:space="preserve"> 2.çeyrekte 0,35% olurken, önceki çeyrekte -2,73% ve geçen yılın aynı çeyreğinde 5,36% olmuştu. Brüt kar </w:t>
      </w:r>
      <w:proofErr w:type="gramStart"/>
      <w:r w:rsidRPr="00577FC8">
        <w:rPr>
          <w:rFonts w:ascii="inherit" w:eastAsia="Times New Roman" w:hAnsi="inherit" w:cs="Arial"/>
          <w:color w:val="000000"/>
          <w:spacing w:val="-1"/>
          <w:sz w:val="24"/>
          <w:szCs w:val="24"/>
          <w:lang w:eastAsia="tr-TR"/>
        </w:rPr>
        <w:t>marjı</w:t>
      </w:r>
      <w:proofErr w:type="gramEnd"/>
      <w:r w:rsidRPr="00577FC8">
        <w:rPr>
          <w:rFonts w:ascii="inherit" w:eastAsia="Times New Roman" w:hAnsi="inherit" w:cs="Arial"/>
          <w:color w:val="000000"/>
          <w:spacing w:val="-1"/>
          <w:sz w:val="24"/>
          <w:szCs w:val="24"/>
          <w:lang w:eastAsia="tr-TR"/>
        </w:rPr>
        <w:t xml:space="preserve"> 2.çeyrekte %16,27 olurken, önceki çeyrekte 15,47% ve geçen yılın aynı döneminde 12,66% olarak gerçekleşmişti. Şirketin uyguladığı temkinli maliyet kontrolü, brüt kar </w:t>
      </w:r>
      <w:proofErr w:type="gramStart"/>
      <w:r w:rsidRPr="00577FC8">
        <w:rPr>
          <w:rFonts w:ascii="inherit" w:eastAsia="Times New Roman" w:hAnsi="inherit" w:cs="Arial"/>
          <w:color w:val="000000"/>
          <w:spacing w:val="-1"/>
          <w:sz w:val="24"/>
          <w:szCs w:val="24"/>
          <w:lang w:eastAsia="tr-TR"/>
        </w:rPr>
        <w:t>marjının</w:t>
      </w:r>
      <w:proofErr w:type="gramEnd"/>
      <w:r w:rsidRPr="00577FC8">
        <w:rPr>
          <w:rFonts w:ascii="inherit" w:eastAsia="Times New Roman" w:hAnsi="inherit" w:cs="Arial"/>
          <w:color w:val="000000"/>
          <w:spacing w:val="-1"/>
          <w:sz w:val="24"/>
          <w:szCs w:val="24"/>
          <w:lang w:eastAsia="tr-TR"/>
        </w:rPr>
        <w:t xml:space="preserve"> yıllık bazda 3 puan artış göstermesinde belirleyici oldu.</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FAVÖK 2025 yılı 2. çeyreğinde geçen yılın aynı çeyreğine göre %6 azalışla 2.190 milyon TL olarak gerçekleşti. Bir önceki çeyreğe göre ise </w:t>
      </w:r>
      <w:proofErr w:type="spellStart"/>
      <w:r w:rsidRPr="00577FC8">
        <w:rPr>
          <w:rFonts w:ascii="inherit" w:eastAsia="Times New Roman" w:hAnsi="inherit" w:cs="Arial"/>
          <w:color w:val="000000"/>
          <w:spacing w:val="-1"/>
          <w:sz w:val="24"/>
          <w:szCs w:val="24"/>
          <w:lang w:eastAsia="tr-TR"/>
        </w:rPr>
        <w:t>FAVÖK’te</w:t>
      </w:r>
      <w:proofErr w:type="spellEnd"/>
      <w:r w:rsidRPr="00577FC8">
        <w:rPr>
          <w:rFonts w:ascii="inherit" w:eastAsia="Times New Roman" w:hAnsi="inherit" w:cs="Arial"/>
          <w:color w:val="000000"/>
          <w:spacing w:val="-1"/>
          <w:sz w:val="24"/>
          <w:szCs w:val="24"/>
          <w:lang w:eastAsia="tr-TR"/>
        </w:rPr>
        <w:t xml:space="preserve"> %22’lik artış dikkat çekti. FAVÖK </w:t>
      </w:r>
      <w:proofErr w:type="gramStart"/>
      <w:r w:rsidRPr="00577FC8">
        <w:rPr>
          <w:rFonts w:ascii="inherit" w:eastAsia="Times New Roman" w:hAnsi="inherit" w:cs="Arial"/>
          <w:color w:val="000000"/>
          <w:spacing w:val="-1"/>
          <w:sz w:val="24"/>
          <w:szCs w:val="24"/>
          <w:lang w:eastAsia="tr-TR"/>
        </w:rPr>
        <w:t>marjı</w:t>
      </w:r>
      <w:proofErr w:type="gramEnd"/>
      <w:r w:rsidRPr="00577FC8">
        <w:rPr>
          <w:rFonts w:ascii="inherit" w:eastAsia="Times New Roman" w:hAnsi="inherit" w:cs="Arial"/>
          <w:color w:val="000000"/>
          <w:spacing w:val="-1"/>
          <w:sz w:val="24"/>
          <w:szCs w:val="24"/>
          <w:lang w:eastAsia="tr-TR"/>
        </w:rPr>
        <w:t xml:space="preserve">, geçen yılın aynı dönemine kıyasla 1,07 puan gerileyerek %10,03 seviyesinde gerçekleşti. Bir önceki çeyrekte %9,40 olan FAVÖK </w:t>
      </w:r>
      <w:proofErr w:type="gramStart"/>
      <w:r w:rsidRPr="00577FC8">
        <w:rPr>
          <w:rFonts w:ascii="inherit" w:eastAsia="Times New Roman" w:hAnsi="inherit" w:cs="Arial"/>
          <w:color w:val="000000"/>
          <w:spacing w:val="-1"/>
          <w:sz w:val="24"/>
          <w:szCs w:val="24"/>
          <w:lang w:eastAsia="tr-TR"/>
        </w:rPr>
        <w:t>marjı</w:t>
      </w:r>
      <w:proofErr w:type="gramEnd"/>
      <w:r w:rsidRPr="00577FC8">
        <w:rPr>
          <w:rFonts w:ascii="inherit" w:eastAsia="Times New Roman" w:hAnsi="inherit" w:cs="Arial"/>
          <w:color w:val="000000"/>
          <w:spacing w:val="-1"/>
          <w:sz w:val="24"/>
          <w:szCs w:val="24"/>
          <w:lang w:eastAsia="tr-TR"/>
        </w:rPr>
        <w:t xml:space="preserve">, çeyreklik bazda 0,63 puan artış kaydetti. Yıllık </w:t>
      </w:r>
      <w:proofErr w:type="gramStart"/>
      <w:r w:rsidRPr="00577FC8">
        <w:rPr>
          <w:rFonts w:ascii="inherit" w:eastAsia="Times New Roman" w:hAnsi="inherit" w:cs="Arial"/>
          <w:color w:val="000000"/>
          <w:spacing w:val="-1"/>
          <w:sz w:val="24"/>
          <w:szCs w:val="24"/>
          <w:lang w:eastAsia="tr-TR"/>
        </w:rPr>
        <w:t>bazda</w:t>
      </w:r>
      <w:proofErr w:type="gramEnd"/>
      <w:r w:rsidRPr="00577FC8">
        <w:rPr>
          <w:rFonts w:ascii="inherit" w:eastAsia="Times New Roman" w:hAnsi="inherit" w:cs="Arial"/>
          <w:color w:val="000000"/>
          <w:spacing w:val="-1"/>
          <w:sz w:val="24"/>
          <w:szCs w:val="24"/>
          <w:lang w:eastAsia="tr-TR"/>
        </w:rPr>
        <w:t xml:space="preserve"> marjın %11 seviyesinden %10 seviyesine sınırlı bir düşüş göstermesinde otomotiv </w:t>
      </w:r>
      <w:proofErr w:type="spellStart"/>
      <w:r w:rsidRPr="00577FC8">
        <w:rPr>
          <w:rFonts w:ascii="inherit" w:eastAsia="Times New Roman" w:hAnsi="inherit" w:cs="Arial"/>
          <w:color w:val="000000"/>
          <w:spacing w:val="-1"/>
          <w:sz w:val="24"/>
          <w:szCs w:val="24"/>
          <w:lang w:eastAsia="tr-TR"/>
        </w:rPr>
        <w:t>segmentinin</w:t>
      </w:r>
      <w:proofErr w:type="spellEnd"/>
      <w:r w:rsidRPr="00577FC8">
        <w:rPr>
          <w:rFonts w:ascii="inherit" w:eastAsia="Times New Roman" w:hAnsi="inherit" w:cs="Arial"/>
          <w:color w:val="000000"/>
          <w:spacing w:val="-1"/>
          <w:sz w:val="24"/>
          <w:szCs w:val="24"/>
          <w:lang w:eastAsia="tr-TR"/>
        </w:rPr>
        <w:t xml:space="preserve"> zayıf performansı etkili oldu.</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Otomotiv iş kolu hariç tutulduğunda, </w:t>
      </w:r>
      <w:proofErr w:type="gramStart"/>
      <w:r w:rsidRPr="00577FC8">
        <w:rPr>
          <w:rFonts w:ascii="inherit" w:eastAsia="Times New Roman" w:hAnsi="inherit" w:cs="Arial"/>
          <w:color w:val="000000"/>
          <w:spacing w:val="-1"/>
          <w:sz w:val="24"/>
          <w:szCs w:val="24"/>
          <w:lang w:eastAsia="tr-TR"/>
        </w:rPr>
        <w:t>konsolide</w:t>
      </w:r>
      <w:proofErr w:type="gramEnd"/>
      <w:r w:rsidRPr="00577FC8">
        <w:rPr>
          <w:rFonts w:ascii="inherit" w:eastAsia="Times New Roman" w:hAnsi="inherit" w:cs="Arial"/>
          <w:color w:val="000000"/>
          <w:spacing w:val="-1"/>
          <w:sz w:val="24"/>
          <w:szCs w:val="24"/>
          <w:lang w:eastAsia="tr-TR"/>
        </w:rPr>
        <w:t xml:space="preserve"> FAVÖK yıllık bazda %40 artışla güçlü bir performans sergilerken, FAVÖK marjı %12,3 seviyesine yükseldi. </w:t>
      </w:r>
      <w:proofErr w:type="spellStart"/>
      <w:r w:rsidRPr="00577FC8">
        <w:rPr>
          <w:rFonts w:ascii="inherit" w:eastAsia="Times New Roman" w:hAnsi="inherit" w:cs="Arial"/>
          <w:color w:val="000000"/>
          <w:spacing w:val="-1"/>
          <w:sz w:val="24"/>
          <w:szCs w:val="24"/>
          <w:lang w:eastAsia="tr-TR"/>
        </w:rPr>
        <w:t>Segment</w:t>
      </w:r>
      <w:proofErr w:type="spellEnd"/>
      <w:r w:rsidRPr="00577FC8">
        <w:rPr>
          <w:rFonts w:ascii="inherit" w:eastAsia="Times New Roman" w:hAnsi="inherit" w:cs="Arial"/>
          <w:color w:val="000000"/>
          <w:spacing w:val="-1"/>
          <w:sz w:val="24"/>
          <w:szCs w:val="24"/>
          <w:lang w:eastAsia="tr-TR"/>
        </w:rPr>
        <w:t xml:space="preserve"> bazında bakıldığında, </w:t>
      </w:r>
      <w:proofErr w:type="spellStart"/>
      <w:r w:rsidRPr="00577FC8">
        <w:rPr>
          <w:rFonts w:ascii="inherit" w:eastAsia="Times New Roman" w:hAnsi="inherit" w:cs="Arial"/>
          <w:color w:val="000000"/>
          <w:spacing w:val="-1"/>
          <w:sz w:val="24"/>
          <w:szCs w:val="24"/>
          <w:lang w:eastAsia="tr-TR"/>
        </w:rPr>
        <w:t>Karel</w:t>
      </w:r>
      <w:proofErr w:type="spellEnd"/>
      <w:r w:rsidRPr="00577FC8">
        <w:rPr>
          <w:rFonts w:ascii="inherit" w:eastAsia="Times New Roman" w:hAnsi="inherit" w:cs="Arial"/>
          <w:color w:val="000000"/>
          <w:spacing w:val="-1"/>
          <w:sz w:val="24"/>
          <w:szCs w:val="24"/>
          <w:lang w:eastAsia="tr-TR"/>
        </w:rPr>
        <w:t xml:space="preserve"> özellikle </w:t>
      </w:r>
      <w:proofErr w:type="spellStart"/>
      <w:r w:rsidRPr="00577FC8">
        <w:rPr>
          <w:rFonts w:ascii="inherit" w:eastAsia="Times New Roman" w:hAnsi="inherit" w:cs="Arial"/>
          <w:color w:val="000000"/>
          <w:spacing w:val="-1"/>
          <w:sz w:val="24"/>
          <w:szCs w:val="24"/>
          <w:lang w:eastAsia="tr-TR"/>
        </w:rPr>
        <w:t>Daiichi’nin</w:t>
      </w:r>
      <w:proofErr w:type="spellEnd"/>
      <w:r w:rsidRPr="00577FC8">
        <w:rPr>
          <w:rFonts w:ascii="inherit" w:eastAsia="Times New Roman" w:hAnsi="inherit" w:cs="Arial"/>
          <w:color w:val="000000"/>
          <w:spacing w:val="-1"/>
          <w:sz w:val="24"/>
          <w:szCs w:val="24"/>
          <w:lang w:eastAsia="tr-TR"/>
        </w:rPr>
        <w:t xml:space="preserve"> güçlü satışları ve kurumsal projeler </w:t>
      </w:r>
      <w:proofErr w:type="spellStart"/>
      <w:r w:rsidRPr="00577FC8">
        <w:rPr>
          <w:rFonts w:ascii="inherit" w:eastAsia="Times New Roman" w:hAnsi="inherit" w:cs="Arial"/>
          <w:color w:val="000000"/>
          <w:spacing w:val="-1"/>
          <w:sz w:val="24"/>
          <w:szCs w:val="24"/>
          <w:lang w:eastAsia="tr-TR"/>
        </w:rPr>
        <w:t>segmentinde</w:t>
      </w:r>
      <w:proofErr w:type="spellEnd"/>
      <w:r w:rsidRPr="00577FC8">
        <w:rPr>
          <w:rFonts w:ascii="inherit" w:eastAsia="Times New Roman" w:hAnsi="inherit" w:cs="Arial"/>
          <w:color w:val="000000"/>
          <w:spacing w:val="-1"/>
          <w:sz w:val="24"/>
          <w:szCs w:val="24"/>
          <w:lang w:eastAsia="tr-TR"/>
        </w:rPr>
        <w:t xml:space="preserve"> güncellenen sözleşmelerin katkısıyla </w:t>
      </w:r>
      <w:proofErr w:type="gramStart"/>
      <w:r w:rsidRPr="00577FC8">
        <w:rPr>
          <w:rFonts w:ascii="inherit" w:eastAsia="Times New Roman" w:hAnsi="inherit" w:cs="Arial"/>
          <w:color w:val="000000"/>
          <w:spacing w:val="-1"/>
          <w:sz w:val="24"/>
          <w:szCs w:val="24"/>
          <w:lang w:eastAsia="tr-TR"/>
        </w:rPr>
        <w:t>marjını</w:t>
      </w:r>
      <w:proofErr w:type="gramEnd"/>
      <w:r w:rsidRPr="00577FC8">
        <w:rPr>
          <w:rFonts w:ascii="inherit" w:eastAsia="Times New Roman" w:hAnsi="inherit" w:cs="Arial"/>
          <w:color w:val="000000"/>
          <w:spacing w:val="-1"/>
          <w:sz w:val="24"/>
          <w:szCs w:val="24"/>
          <w:lang w:eastAsia="tr-TR"/>
        </w:rPr>
        <w:t xml:space="preserve"> yıllık bazda 4 puan artırdı. </w:t>
      </w:r>
      <w:proofErr w:type="spellStart"/>
      <w:r w:rsidRPr="00577FC8">
        <w:rPr>
          <w:rFonts w:ascii="inherit" w:eastAsia="Times New Roman" w:hAnsi="inherit" w:cs="Arial"/>
          <w:color w:val="000000"/>
          <w:spacing w:val="-1"/>
          <w:sz w:val="24"/>
          <w:szCs w:val="24"/>
          <w:lang w:eastAsia="tr-TR"/>
        </w:rPr>
        <w:t>Sesa</w:t>
      </w:r>
      <w:proofErr w:type="spellEnd"/>
      <w:r w:rsidRPr="00577FC8">
        <w:rPr>
          <w:rFonts w:ascii="inherit" w:eastAsia="Times New Roman" w:hAnsi="inherit" w:cs="Arial"/>
          <w:color w:val="000000"/>
          <w:spacing w:val="-1"/>
          <w:sz w:val="24"/>
          <w:szCs w:val="24"/>
          <w:lang w:eastAsia="tr-TR"/>
        </w:rPr>
        <w:t xml:space="preserve"> ise yüksek katma değerli ürünlere ve ihracat pazarlarına odaklanan stratejisi sayesinde yıllık bazda 10 puanlık </w:t>
      </w:r>
      <w:proofErr w:type="gramStart"/>
      <w:r w:rsidRPr="00577FC8">
        <w:rPr>
          <w:rFonts w:ascii="inherit" w:eastAsia="Times New Roman" w:hAnsi="inherit" w:cs="Arial"/>
          <w:color w:val="000000"/>
          <w:spacing w:val="-1"/>
          <w:sz w:val="24"/>
          <w:szCs w:val="24"/>
          <w:lang w:eastAsia="tr-TR"/>
        </w:rPr>
        <w:t>marj</w:t>
      </w:r>
      <w:proofErr w:type="gramEnd"/>
      <w:r w:rsidRPr="00577FC8">
        <w:rPr>
          <w:rFonts w:ascii="inherit" w:eastAsia="Times New Roman" w:hAnsi="inherit" w:cs="Arial"/>
          <w:color w:val="000000"/>
          <w:spacing w:val="-1"/>
          <w:sz w:val="24"/>
          <w:szCs w:val="24"/>
          <w:lang w:eastAsia="tr-TR"/>
        </w:rPr>
        <w:t xml:space="preserve"> artışı elde etti.</w:t>
      </w:r>
    </w:p>
    <w:p w:rsidR="00577FC8" w:rsidRPr="00577FC8" w:rsidRDefault="00577FC8" w:rsidP="00577FC8">
      <w:pPr>
        <w:spacing w:after="0" w:line="360" w:lineRule="atLeast"/>
        <w:ind w:left="150" w:right="150"/>
        <w:textAlignment w:val="baseline"/>
        <w:outlineLvl w:val="1"/>
        <w:rPr>
          <w:rFonts w:ascii="inherit" w:eastAsia="Times New Roman" w:hAnsi="inherit" w:cs="Arial"/>
          <w:b/>
          <w:bCs/>
          <w:color w:val="0A4975"/>
          <w:spacing w:val="-1"/>
          <w:sz w:val="27"/>
          <w:szCs w:val="27"/>
          <w:lang w:eastAsia="tr-TR"/>
        </w:rPr>
      </w:pPr>
      <w:proofErr w:type="spellStart"/>
      <w:r w:rsidRPr="00577FC8">
        <w:rPr>
          <w:rFonts w:ascii="inherit" w:eastAsia="Times New Roman" w:hAnsi="inherit" w:cs="Arial"/>
          <w:b/>
          <w:bCs/>
          <w:color w:val="0A4975"/>
          <w:spacing w:val="-1"/>
          <w:sz w:val="27"/>
          <w:szCs w:val="27"/>
          <w:bdr w:val="none" w:sz="0" w:space="0" w:color="auto" w:frame="1"/>
          <w:lang w:eastAsia="tr-TR"/>
        </w:rPr>
        <w:t>Segment</w:t>
      </w:r>
      <w:proofErr w:type="spellEnd"/>
      <w:r w:rsidRPr="00577FC8">
        <w:rPr>
          <w:rFonts w:ascii="inherit" w:eastAsia="Times New Roman" w:hAnsi="inherit" w:cs="Arial"/>
          <w:b/>
          <w:bCs/>
          <w:color w:val="0A4975"/>
          <w:spacing w:val="-1"/>
          <w:sz w:val="27"/>
          <w:szCs w:val="27"/>
          <w:bdr w:val="none" w:sz="0" w:space="0" w:color="auto" w:frame="1"/>
          <w:lang w:eastAsia="tr-TR"/>
        </w:rPr>
        <w:t xml:space="preserve"> Bazlı Gelişmeler</w:t>
      </w:r>
    </w:p>
    <w:p w:rsidR="00577FC8" w:rsidRPr="00577FC8" w:rsidRDefault="00577FC8" w:rsidP="00577FC8">
      <w:pPr>
        <w:spacing w:after="0" w:line="360" w:lineRule="atLeast"/>
        <w:ind w:left="150" w:right="150"/>
        <w:textAlignment w:val="baseline"/>
        <w:outlineLvl w:val="2"/>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Yenilenebilir Enerji</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Türkiye’de devam eden yatırımlar sayesinde yılın ilk yarısında elektrik üretim kapasitesine 57 </w:t>
      </w:r>
      <w:proofErr w:type="spellStart"/>
      <w:r w:rsidRPr="00577FC8">
        <w:rPr>
          <w:rFonts w:ascii="inherit" w:eastAsia="Times New Roman" w:hAnsi="inherit" w:cs="Arial"/>
          <w:color w:val="000000"/>
          <w:spacing w:val="-1"/>
          <w:sz w:val="24"/>
          <w:szCs w:val="24"/>
          <w:lang w:eastAsia="tr-TR"/>
        </w:rPr>
        <w:t>MW’lık</w:t>
      </w:r>
      <w:proofErr w:type="spellEnd"/>
      <w:r w:rsidRPr="00577FC8">
        <w:rPr>
          <w:rFonts w:ascii="inherit" w:eastAsia="Times New Roman" w:hAnsi="inherit" w:cs="Arial"/>
          <w:color w:val="000000"/>
          <w:spacing w:val="-1"/>
          <w:sz w:val="24"/>
          <w:szCs w:val="24"/>
          <w:lang w:eastAsia="tr-TR"/>
        </w:rPr>
        <w:t xml:space="preserve"> önemli bir katkı sağlandı ve yıllık hedefler başarıyla yakalandı. Avrupa’daki projelerde de hız kesilmedi. Almanya ve İtalya’da toplamda 52 </w:t>
      </w:r>
      <w:proofErr w:type="spellStart"/>
      <w:r w:rsidRPr="00577FC8">
        <w:rPr>
          <w:rFonts w:ascii="inherit" w:eastAsia="Times New Roman" w:hAnsi="inherit" w:cs="Arial"/>
          <w:color w:val="000000"/>
          <w:spacing w:val="-1"/>
          <w:sz w:val="24"/>
          <w:szCs w:val="24"/>
          <w:lang w:eastAsia="tr-TR"/>
        </w:rPr>
        <w:t>MW’lık</w:t>
      </w:r>
      <w:proofErr w:type="spellEnd"/>
      <w:r w:rsidRPr="00577FC8">
        <w:rPr>
          <w:rFonts w:ascii="inherit" w:eastAsia="Times New Roman" w:hAnsi="inherit" w:cs="Arial"/>
          <w:color w:val="000000"/>
          <w:spacing w:val="-1"/>
          <w:sz w:val="24"/>
          <w:szCs w:val="24"/>
          <w:lang w:eastAsia="tr-TR"/>
        </w:rPr>
        <w:t xml:space="preserve"> güneş enerjisi santrali ile 40 </w:t>
      </w:r>
      <w:proofErr w:type="spellStart"/>
      <w:r w:rsidRPr="00577FC8">
        <w:rPr>
          <w:rFonts w:ascii="inherit" w:eastAsia="Times New Roman" w:hAnsi="inherit" w:cs="Arial"/>
          <w:color w:val="000000"/>
          <w:spacing w:val="-1"/>
          <w:sz w:val="24"/>
          <w:szCs w:val="24"/>
          <w:lang w:eastAsia="tr-TR"/>
        </w:rPr>
        <w:t>MW’lık</w:t>
      </w:r>
      <w:proofErr w:type="spellEnd"/>
      <w:r w:rsidRPr="00577FC8">
        <w:rPr>
          <w:rFonts w:ascii="inherit" w:eastAsia="Times New Roman" w:hAnsi="inherit" w:cs="Arial"/>
          <w:color w:val="000000"/>
          <w:spacing w:val="-1"/>
          <w:sz w:val="24"/>
          <w:szCs w:val="24"/>
          <w:lang w:eastAsia="tr-TR"/>
        </w:rPr>
        <w:t xml:space="preserve"> enerji depolama sistemi inşaata hazır hale getirildi. Galata </w:t>
      </w:r>
      <w:proofErr w:type="spellStart"/>
      <w:proofErr w:type="gramStart"/>
      <w:r w:rsidRPr="00577FC8">
        <w:rPr>
          <w:rFonts w:ascii="inherit" w:eastAsia="Times New Roman" w:hAnsi="inherit" w:cs="Arial"/>
          <w:color w:val="000000"/>
          <w:spacing w:val="-1"/>
          <w:sz w:val="24"/>
          <w:szCs w:val="24"/>
          <w:lang w:eastAsia="tr-TR"/>
        </w:rPr>
        <w:t>Wind’in</w:t>
      </w:r>
      <w:proofErr w:type="spellEnd"/>
      <w:r w:rsidRPr="00577FC8">
        <w:rPr>
          <w:rFonts w:ascii="inherit" w:eastAsia="Times New Roman" w:hAnsi="inherit" w:cs="Arial"/>
          <w:color w:val="000000"/>
          <w:spacing w:val="-1"/>
          <w:sz w:val="24"/>
          <w:szCs w:val="24"/>
          <w:lang w:eastAsia="tr-TR"/>
        </w:rPr>
        <w:t xml:space="preserve"> kurulu</w:t>
      </w:r>
      <w:proofErr w:type="gramEnd"/>
      <w:r w:rsidRPr="00577FC8">
        <w:rPr>
          <w:rFonts w:ascii="inherit" w:eastAsia="Times New Roman" w:hAnsi="inherit" w:cs="Arial"/>
          <w:color w:val="000000"/>
          <w:spacing w:val="-1"/>
          <w:sz w:val="24"/>
          <w:szCs w:val="24"/>
          <w:lang w:eastAsia="tr-TR"/>
        </w:rPr>
        <w:t xml:space="preserve"> gücü, Haziran sonu itibarıyla 354 </w:t>
      </w:r>
      <w:proofErr w:type="spellStart"/>
      <w:r w:rsidRPr="00577FC8">
        <w:rPr>
          <w:rFonts w:ascii="inherit" w:eastAsia="Times New Roman" w:hAnsi="inherit" w:cs="Arial"/>
          <w:color w:val="000000"/>
          <w:spacing w:val="-1"/>
          <w:sz w:val="24"/>
          <w:szCs w:val="24"/>
          <w:lang w:eastAsia="tr-TR"/>
        </w:rPr>
        <w:t>MW’a</w:t>
      </w:r>
      <w:proofErr w:type="spellEnd"/>
      <w:r w:rsidRPr="00577FC8">
        <w:rPr>
          <w:rFonts w:ascii="inherit" w:eastAsia="Times New Roman" w:hAnsi="inherit" w:cs="Arial"/>
          <w:color w:val="000000"/>
          <w:spacing w:val="-1"/>
          <w:sz w:val="24"/>
          <w:szCs w:val="24"/>
          <w:lang w:eastAsia="tr-TR"/>
        </w:rPr>
        <w:t xml:space="preserve"> ulaşarak yıl sonu için planlanan 50 </w:t>
      </w:r>
      <w:proofErr w:type="spellStart"/>
      <w:r w:rsidRPr="00577FC8">
        <w:rPr>
          <w:rFonts w:ascii="inherit" w:eastAsia="Times New Roman" w:hAnsi="inherit" w:cs="Arial"/>
          <w:color w:val="000000"/>
          <w:spacing w:val="-1"/>
          <w:sz w:val="24"/>
          <w:szCs w:val="24"/>
          <w:lang w:eastAsia="tr-TR"/>
        </w:rPr>
        <w:t>MW’lık</w:t>
      </w:r>
      <w:proofErr w:type="spellEnd"/>
      <w:r w:rsidRPr="00577FC8">
        <w:rPr>
          <w:rFonts w:ascii="inherit" w:eastAsia="Times New Roman" w:hAnsi="inherit" w:cs="Arial"/>
          <w:color w:val="000000"/>
          <w:spacing w:val="-1"/>
          <w:sz w:val="24"/>
          <w:szCs w:val="24"/>
          <w:lang w:eastAsia="tr-TR"/>
        </w:rPr>
        <w:t xml:space="preserve"> kapasite artış hedefi ilk yarıda başarıyla tamamlandı. Avrupa’daki İtalya ve Almanya projeleri “inşaata hazır” aşamaya geçerken, Türkiye’deki proje geliştirme faaliyetleri planlandığı şekilde devam ediyor. Yeni santrallerin devreye girmesiyle birlikte, 2025’in ikinci çeyreğinde elektrik üretimi yıllık </w:t>
      </w:r>
      <w:proofErr w:type="gramStart"/>
      <w:r w:rsidRPr="00577FC8">
        <w:rPr>
          <w:rFonts w:ascii="inherit" w:eastAsia="Times New Roman" w:hAnsi="inherit" w:cs="Arial"/>
          <w:color w:val="000000"/>
          <w:spacing w:val="-1"/>
          <w:sz w:val="24"/>
          <w:szCs w:val="24"/>
          <w:lang w:eastAsia="tr-TR"/>
        </w:rPr>
        <w:t>bazda</w:t>
      </w:r>
      <w:proofErr w:type="gramEnd"/>
      <w:r w:rsidRPr="00577FC8">
        <w:rPr>
          <w:rFonts w:ascii="inherit" w:eastAsia="Times New Roman" w:hAnsi="inherit" w:cs="Arial"/>
          <w:color w:val="000000"/>
          <w:spacing w:val="-1"/>
          <w:sz w:val="24"/>
          <w:szCs w:val="24"/>
          <w:lang w:eastAsia="tr-TR"/>
        </w:rPr>
        <w:t xml:space="preserve"> %12 artış gösterdi. Çeyrek boyunca Piyasa Takas Fiyatı ise yıllık %18 yükseldi, ancak enflasyonun altında kalan bu artış nedeniyle ciroda hafif bir daralma yaşandı.</w:t>
      </w:r>
    </w:p>
    <w:p w:rsidR="00577FC8" w:rsidRPr="00577FC8" w:rsidRDefault="00577FC8" w:rsidP="00577FC8">
      <w:pPr>
        <w:spacing w:after="0" w:line="360" w:lineRule="atLeast"/>
        <w:ind w:left="150" w:right="150"/>
        <w:textAlignment w:val="baseline"/>
        <w:outlineLvl w:val="2"/>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Madencilik</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Gümüştaş, üretimini ilk 6 ayda %16 artırarak güçlü bir büyüme gösterdi. Metal spot fiyatlarının beklenenden daha iyi seyretmesi sayesinde, %39 gibi yüksek bir FAVÖK </w:t>
      </w:r>
      <w:proofErr w:type="gramStart"/>
      <w:r w:rsidRPr="00577FC8">
        <w:rPr>
          <w:rFonts w:ascii="inherit" w:eastAsia="Times New Roman" w:hAnsi="inherit" w:cs="Arial"/>
          <w:color w:val="000000"/>
          <w:spacing w:val="-1"/>
          <w:sz w:val="24"/>
          <w:szCs w:val="24"/>
          <w:lang w:eastAsia="tr-TR"/>
        </w:rPr>
        <w:t>marjı</w:t>
      </w:r>
      <w:proofErr w:type="gramEnd"/>
      <w:r w:rsidRPr="00577FC8">
        <w:rPr>
          <w:rFonts w:ascii="inherit" w:eastAsia="Times New Roman" w:hAnsi="inherit" w:cs="Arial"/>
          <w:color w:val="000000"/>
          <w:spacing w:val="-1"/>
          <w:sz w:val="24"/>
          <w:szCs w:val="24"/>
          <w:lang w:eastAsia="tr-TR"/>
        </w:rPr>
        <w:t xml:space="preserve"> yakalayarak beklentilerin çok üzerine çıktı. Gümüştaş, yılın ilk yarısında beklenenden </w:t>
      </w:r>
      <w:r w:rsidRPr="00577FC8">
        <w:rPr>
          <w:rFonts w:ascii="inherit" w:eastAsia="Times New Roman" w:hAnsi="inherit" w:cs="Arial"/>
          <w:color w:val="000000"/>
          <w:spacing w:val="-1"/>
          <w:sz w:val="24"/>
          <w:szCs w:val="24"/>
          <w:lang w:eastAsia="tr-TR"/>
        </w:rPr>
        <w:lastRenderedPageBreak/>
        <w:t xml:space="preserve">yüksek spot emtia fiyatları ve optimize edilen ürün karması sayesinde %39 FAVÖK </w:t>
      </w:r>
      <w:proofErr w:type="gramStart"/>
      <w:r w:rsidRPr="00577FC8">
        <w:rPr>
          <w:rFonts w:ascii="inherit" w:eastAsia="Times New Roman" w:hAnsi="inherit" w:cs="Arial"/>
          <w:color w:val="000000"/>
          <w:spacing w:val="-1"/>
          <w:sz w:val="24"/>
          <w:szCs w:val="24"/>
          <w:lang w:eastAsia="tr-TR"/>
        </w:rPr>
        <w:t>marjı</w:t>
      </w:r>
      <w:proofErr w:type="gramEnd"/>
      <w:r w:rsidRPr="00577FC8">
        <w:rPr>
          <w:rFonts w:ascii="inherit" w:eastAsia="Times New Roman" w:hAnsi="inherit" w:cs="Arial"/>
          <w:color w:val="000000"/>
          <w:spacing w:val="-1"/>
          <w:sz w:val="24"/>
          <w:szCs w:val="24"/>
          <w:lang w:eastAsia="tr-TR"/>
        </w:rPr>
        <w:t xml:space="preserve"> ile yılsonu hedeflerinin üzerinde bir performans sergiledi. Şirket, 6 ayda 13 milyon ABD doları yatırım harcaması yaparak 90 milyon dolarlık üç yıllık yatırım programı doğrultusunda ilerlemeye devam etti. Yatırımların 2025’in ikinci yarısında hız kazanması öngörülüyor. Ayrıca, rezerv doğrulama süreci sürmekte olup, bağımsız denetimin Eylül ayında tamamlanması beklenmektedir.</w:t>
      </w:r>
    </w:p>
    <w:p w:rsidR="00577FC8" w:rsidRPr="00577FC8" w:rsidRDefault="00577FC8" w:rsidP="00577FC8">
      <w:pPr>
        <w:spacing w:after="0" w:line="360" w:lineRule="atLeast"/>
        <w:ind w:left="150" w:right="150"/>
        <w:textAlignment w:val="baseline"/>
        <w:outlineLvl w:val="2"/>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Dijital Finansal Hizmetler</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2025’in ikinci çeyreğinde, D Yatırım Bankası’nın ödenmiş sermayesindeki yaklaşık 30 milyon ABD dolarlık sermaye artırımı tescil edilmiştir. Bu gelişme, bankanın büyüme ivmesini güçlendirmesi ve finansal hizmetler sektöründeki konumunu sağlamlaştırması açısından önemli bir adım olarak değerlendirilmektedir. Daha önce, Doğan Holding’in bu sermaye artırımına ilişkin 20 milyon ABD dolarlık nakit katkısı ilk çeyrekte peşin olarak ödenmiş olup, ikinci çeyrekte banka adına ek bir nakit çıkışı yaşanmamıştır. Öte yandan, D Yatırım Bankası’nın Piyasa/Defter Değeri çarpanı </w:t>
      </w:r>
      <w:proofErr w:type="gramStart"/>
      <w:r w:rsidRPr="00577FC8">
        <w:rPr>
          <w:rFonts w:ascii="inherit" w:eastAsia="Times New Roman" w:hAnsi="inherit" w:cs="Arial"/>
          <w:color w:val="000000"/>
          <w:spacing w:val="-1"/>
          <w:sz w:val="24"/>
          <w:szCs w:val="24"/>
          <w:lang w:eastAsia="tr-TR"/>
        </w:rPr>
        <w:t>baz</w:t>
      </w:r>
      <w:proofErr w:type="gramEnd"/>
      <w:r w:rsidRPr="00577FC8">
        <w:rPr>
          <w:rFonts w:ascii="inherit" w:eastAsia="Times New Roman" w:hAnsi="inherit" w:cs="Arial"/>
          <w:color w:val="000000"/>
          <w:spacing w:val="-1"/>
          <w:sz w:val="24"/>
          <w:szCs w:val="24"/>
          <w:lang w:eastAsia="tr-TR"/>
        </w:rPr>
        <w:t xml:space="preserve"> alınarak yapılan değerlemede, önceki çeyreğe kıyasla Net Aktif Değer artışı kaydedilmiştir, bu da banka değerlemesinde olumlu bir görünüm sağlamaktadır. </w:t>
      </w:r>
      <w:proofErr w:type="spellStart"/>
      <w:r w:rsidRPr="00577FC8">
        <w:rPr>
          <w:rFonts w:ascii="inherit" w:eastAsia="Times New Roman" w:hAnsi="inherit" w:cs="Arial"/>
          <w:color w:val="000000"/>
          <w:spacing w:val="-1"/>
          <w:sz w:val="24"/>
          <w:szCs w:val="24"/>
          <w:lang w:eastAsia="tr-TR"/>
        </w:rPr>
        <w:t>Hepiyi</w:t>
      </w:r>
      <w:proofErr w:type="spellEnd"/>
      <w:r w:rsidRPr="00577FC8">
        <w:rPr>
          <w:rFonts w:ascii="inherit" w:eastAsia="Times New Roman" w:hAnsi="inherit" w:cs="Arial"/>
          <w:color w:val="000000"/>
          <w:spacing w:val="-1"/>
          <w:sz w:val="24"/>
          <w:szCs w:val="24"/>
          <w:lang w:eastAsia="tr-TR"/>
        </w:rPr>
        <w:t xml:space="preserve">, kasko pazarındaki payını yıllık 180 </w:t>
      </w:r>
      <w:proofErr w:type="gramStart"/>
      <w:r w:rsidRPr="00577FC8">
        <w:rPr>
          <w:rFonts w:ascii="inherit" w:eastAsia="Times New Roman" w:hAnsi="inherit" w:cs="Arial"/>
          <w:color w:val="000000"/>
          <w:spacing w:val="-1"/>
          <w:sz w:val="24"/>
          <w:szCs w:val="24"/>
          <w:lang w:eastAsia="tr-TR"/>
        </w:rPr>
        <w:t>baz</w:t>
      </w:r>
      <w:proofErr w:type="gramEnd"/>
      <w:r w:rsidRPr="00577FC8">
        <w:rPr>
          <w:rFonts w:ascii="inherit" w:eastAsia="Times New Roman" w:hAnsi="inherit" w:cs="Arial"/>
          <w:color w:val="000000"/>
          <w:spacing w:val="-1"/>
          <w:sz w:val="24"/>
          <w:szCs w:val="24"/>
          <w:lang w:eastAsia="tr-TR"/>
        </w:rPr>
        <w:t xml:space="preserve"> puan artırarak %4,1’e taşıdı ve sektörde 8. en büyük kasko, 5. en büyük zorunlu trafik sigortası şirketi konumuna yükseldi. Yönetilen </w:t>
      </w:r>
      <w:proofErr w:type="gramStart"/>
      <w:r w:rsidRPr="00577FC8">
        <w:rPr>
          <w:rFonts w:ascii="inherit" w:eastAsia="Times New Roman" w:hAnsi="inherit" w:cs="Arial"/>
          <w:color w:val="000000"/>
          <w:spacing w:val="-1"/>
          <w:sz w:val="24"/>
          <w:szCs w:val="24"/>
          <w:lang w:eastAsia="tr-TR"/>
        </w:rPr>
        <w:t>portföy</w:t>
      </w:r>
      <w:proofErr w:type="gramEnd"/>
      <w:r w:rsidRPr="00577FC8">
        <w:rPr>
          <w:rFonts w:ascii="inherit" w:eastAsia="Times New Roman" w:hAnsi="inherit" w:cs="Arial"/>
          <w:color w:val="000000"/>
          <w:spacing w:val="-1"/>
          <w:sz w:val="24"/>
          <w:szCs w:val="24"/>
          <w:lang w:eastAsia="tr-TR"/>
        </w:rPr>
        <w:t xml:space="preserve"> büyüklüğü ise neredeyse iki katına (%97) çıkarak büyümesini sürdürürken, gider/gelir oranı %2,3 seviyesinde kalıp verimlilik korunmaya devam etti.</w:t>
      </w:r>
    </w:p>
    <w:p w:rsidR="00577FC8" w:rsidRPr="00577FC8" w:rsidRDefault="00577FC8" w:rsidP="00577FC8">
      <w:pPr>
        <w:spacing w:after="0" w:line="360" w:lineRule="atLeast"/>
        <w:ind w:left="150" w:right="150"/>
        <w:textAlignment w:val="baseline"/>
        <w:outlineLvl w:val="2"/>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Elektronik, Teknoloji &amp; Sanayi</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1 Nisan itibarıyla uzun vadeli </w:t>
      </w:r>
      <w:proofErr w:type="spellStart"/>
      <w:r w:rsidRPr="00577FC8">
        <w:rPr>
          <w:rFonts w:ascii="inherit" w:eastAsia="Times New Roman" w:hAnsi="inherit" w:cs="Arial"/>
          <w:color w:val="000000"/>
          <w:spacing w:val="-1"/>
          <w:sz w:val="24"/>
          <w:szCs w:val="24"/>
          <w:lang w:eastAsia="tr-TR"/>
        </w:rPr>
        <w:t>telekom</w:t>
      </w:r>
      <w:proofErr w:type="spellEnd"/>
      <w:r w:rsidRPr="00577FC8">
        <w:rPr>
          <w:rFonts w:ascii="inherit" w:eastAsia="Times New Roman" w:hAnsi="inherit" w:cs="Arial"/>
          <w:color w:val="000000"/>
          <w:spacing w:val="-1"/>
          <w:sz w:val="24"/>
          <w:szCs w:val="24"/>
          <w:lang w:eastAsia="tr-TR"/>
        </w:rPr>
        <w:t xml:space="preserve"> sözleşmelerinin revize edilen fiyatlarla yeniden yapılandırılması, Kurumsal Projeler </w:t>
      </w:r>
      <w:proofErr w:type="spellStart"/>
      <w:r w:rsidRPr="00577FC8">
        <w:rPr>
          <w:rFonts w:ascii="inherit" w:eastAsia="Times New Roman" w:hAnsi="inherit" w:cs="Arial"/>
          <w:color w:val="000000"/>
          <w:spacing w:val="-1"/>
          <w:sz w:val="24"/>
          <w:szCs w:val="24"/>
          <w:lang w:eastAsia="tr-TR"/>
        </w:rPr>
        <w:t>segmentinde</w:t>
      </w:r>
      <w:proofErr w:type="spellEnd"/>
      <w:r w:rsidRPr="00577FC8">
        <w:rPr>
          <w:rFonts w:ascii="inherit" w:eastAsia="Times New Roman" w:hAnsi="inherit" w:cs="Arial"/>
          <w:color w:val="000000"/>
          <w:spacing w:val="-1"/>
          <w:sz w:val="24"/>
          <w:szCs w:val="24"/>
          <w:lang w:eastAsia="tr-TR"/>
        </w:rPr>
        <w:t xml:space="preserve"> 2Ç25’te brüt kar </w:t>
      </w:r>
      <w:proofErr w:type="gramStart"/>
      <w:r w:rsidRPr="00577FC8">
        <w:rPr>
          <w:rFonts w:ascii="inherit" w:eastAsia="Times New Roman" w:hAnsi="inherit" w:cs="Arial"/>
          <w:color w:val="000000"/>
          <w:spacing w:val="-1"/>
          <w:sz w:val="24"/>
          <w:szCs w:val="24"/>
          <w:lang w:eastAsia="tr-TR"/>
        </w:rPr>
        <w:t>marjının</w:t>
      </w:r>
      <w:proofErr w:type="gramEnd"/>
      <w:r w:rsidRPr="00577FC8">
        <w:rPr>
          <w:rFonts w:ascii="inherit" w:eastAsia="Times New Roman" w:hAnsi="inherit" w:cs="Arial"/>
          <w:color w:val="000000"/>
          <w:spacing w:val="-1"/>
          <w:sz w:val="24"/>
          <w:szCs w:val="24"/>
          <w:lang w:eastAsia="tr-TR"/>
        </w:rPr>
        <w:t xml:space="preserve"> yıllık bazda iyileşmesini sağladı. Elektronik Kart Üretimi </w:t>
      </w:r>
      <w:proofErr w:type="spellStart"/>
      <w:r w:rsidRPr="00577FC8">
        <w:rPr>
          <w:rFonts w:ascii="inherit" w:eastAsia="Times New Roman" w:hAnsi="inherit" w:cs="Arial"/>
          <w:color w:val="000000"/>
          <w:spacing w:val="-1"/>
          <w:sz w:val="24"/>
          <w:szCs w:val="24"/>
          <w:lang w:eastAsia="tr-TR"/>
        </w:rPr>
        <w:t>segmentinde</w:t>
      </w:r>
      <w:proofErr w:type="spellEnd"/>
      <w:r w:rsidRPr="00577FC8">
        <w:rPr>
          <w:rFonts w:ascii="inherit" w:eastAsia="Times New Roman" w:hAnsi="inherit" w:cs="Arial"/>
          <w:color w:val="000000"/>
          <w:spacing w:val="-1"/>
          <w:sz w:val="24"/>
          <w:szCs w:val="24"/>
          <w:lang w:eastAsia="tr-TR"/>
        </w:rPr>
        <w:t xml:space="preserve"> ise </w:t>
      </w:r>
      <w:proofErr w:type="spellStart"/>
      <w:r w:rsidRPr="00577FC8">
        <w:rPr>
          <w:rFonts w:ascii="inherit" w:eastAsia="Times New Roman" w:hAnsi="inherit" w:cs="Arial"/>
          <w:color w:val="000000"/>
          <w:spacing w:val="-1"/>
          <w:sz w:val="24"/>
          <w:szCs w:val="24"/>
          <w:lang w:eastAsia="tr-TR"/>
        </w:rPr>
        <w:t>operasyonel</w:t>
      </w:r>
      <w:proofErr w:type="spellEnd"/>
      <w:r w:rsidRPr="00577FC8">
        <w:rPr>
          <w:rFonts w:ascii="inherit" w:eastAsia="Times New Roman" w:hAnsi="inherit" w:cs="Arial"/>
          <w:color w:val="000000"/>
          <w:spacing w:val="-1"/>
          <w:sz w:val="24"/>
          <w:szCs w:val="24"/>
          <w:lang w:eastAsia="tr-TR"/>
        </w:rPr>
        <w:t xml:space="preserve"> verimlilik artırma ve küçülme çalışmaları ikinci çeyrekte de sürdü. Ancak, yeniden yapılanmaya bağlı tek seferlik maliyetler nedeniyle karlılık üzerindeki pozitif etkinin esas olarak gelecek yıl ortaya çıkması bekleniyor. </w:t>
      </w:r>
      <w:proofErr w:type="spellStart"/>
      <w:r w:rsidRPr="00577FC8">
        <w:rPr>
          <w:rFonts w:ascii="inherit" w:eastAsia="Times New Roman" w:hAnsi="inherit" w:cs="Arial"/>
          <w:color w:val="000000"/>
          <w:spacing w:val="-1"/>
          <w:sz w:val="24"/>
          <w:szCs w:val="24"/>
          <w:lang w:eastAsia="tr-TR"/>
        </w:rPr>
        <w:t>Daiichi</w:t>
      </w:r>
      <w:proofErr w:type="spellEnd"/>
      <w:r w:rsidRPr="00577FC8">
        <w:rPr>
          <w:rFonts w:ascii="inherit" w:eastAsia="Times New Roman" w:hAnsi="inherit" w:cs="Arial"/>
          <w:color w:val="000000"/>
          <w:spacing w:val="-1"/>
          <w:sz w:val="24"/>
          <w:szCs w:val="24"/>
          <w:lang w:eastAsia="tr-TR"/>
        </w:rPr>
        <w:t xml:space="preserve"> hissesi satışından 12,6 milyon ABD doları nakit girişi elde edilmesine rağmen, yüksek seviyede seyreden net borç ve tek seferlik giderler </w:t>
      </w:r>
      <w:proofErr w:type="spellStart"/>
      <w:r w:rsidRPr="00577FC8">
        <w:rPr>
          <w:rFonts w:ascii="inherit" w:eastAsia="Times New Roman" w:hAnsi="inherit" w:cs="Arial"/>
          <w:color w:val="000000"/>
          <w:spacing w:val="-1"/>
          <w:sz w:val="24"/>
          <w:szCs w:val="24"/>
          <w:lang w:eastAsia="tr-TR"/>
        </w:rPr>
        <w:t>operasyonel</w:t>
      </w:r>
      <w:proofErr w:type="spellEnd"/>
      <w:r w:rsidRPr="00577FC8">
        <w:rPr>
          <w:rFonts w:ascii="inherit" w:eastAsia="Times New Roman" w:hAnsi="inherit" w:cs="Arial"/>
          <w:color w:val="000000"/>
          <w:spacing w:val="-1"/>
          <w:sz w:val="24"/>
          <w:szCs w:val="24"/>
          <w:lang w:eastAsia="tr-TR"/>
        </w:rPr>
        <w:t xml:space="preserve"> iyileşmenin net kara yansımasını sınırladı.</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proofErr w:type="spellStart"/>
      <w:r w:rsidRPr="00577FC8">
        <w:rPr>
          <w:rFonts w:ascii="inherit" w:eastAsia="Times New Roman" w:hAnsi="inherit" w:cs="Arial"/>
          <w:color w:val="000000"/>
          <w:spacing w:val="-1"/>
          <w:sz w:val="24"/>
          <w:szCs w:val="24"/>
          <w:lang w:eastAsia="tr-TR"/>
        </w:rPr>
        <w:t>Sesa</w:t>
      </w:r>
      <w:proofErr w:type="spellEnd"/>
      <w:r w:rsidRPr="00577FC8">
        <w:rPr>
          <w:rFonts w:ascii="inherit" w:eastAsia="Times New Roman" w:hAnsi="inherit" w:cs="Arial"/>
          <w:color w:val="000000"/>
          <w:spacing w:val="-1"/>
          <w:sz w:val="24"/>
          <w:szCs w:val="24"/>
          <w:lang w:eastAsia="tr-TR"/>
        </w:rPr>
        <w:t xml:space="preserve"> Ambalaj, </w:t>
      </w:r>
      <w:proofErr w:type="spellStart"/>
      <w:r w:rsidRPr="00577FC8">
        <w:rPr>
          <w:rFonts w:ascii="inherit" w:eastAsia="Times New Roman" w:hAnsi="inherit" w:cs="Arial"/>
          <w:color w:val="000000"/>
          <w:spacing w:val="-1"/>
          <w:sz w:val="24"/>
          <w:szCs w:val="24"/>
          <w:lang w:eastAsia="tr-TR"/>
        </w:rPr>
        <w:t>premium</w:t>
      </w:r>
      <w:proofErr w:type="spellEnd"/>
      <w:r w:rsidRPr="00577FC8">
        <w:rPr>
          <w:rFonts w:ascii="inherit" w:eastAsia="Times New Roman" w:hAnsi="inherit" w:cs="Arial"/>
          <w:color w:val="000000"/>
          <w:spacing w:val="-1"/>
          <w:sz w:val="24"/>
          <w:szCs w:val="24"/>
          <w:lang w:eastAsia="tr-TR"/>
        </w:rPr>
        <w:t xml:space="preserve"> </w:t>
      </w:r>
      <w:proofErr w:type="spellStart"/>
      <w:r w:rsidRPr="00577FC8">
        <w:rPr>
          <w:rFonts w:ascii="inherit" w:eastAsia="Times New Roman" w:hAnsi="inherit" w:cs="Arial"/>
          <w:color w:val="000000"/>
          <w:spacing w:val="-1"/>
          <w:sz w:val="24"/>
          <w:szCs w:val="24"/>
          <w:lang w:eastAsia="tr-TR"/>
        </w:rPr>
        <w:t>segmentteki</w:t>
      </w:r>
      <w:proofErr w:type="spellEnd"/>
      <w:r w:rsidRPr="00577FC8">
        <w:rPr>
          <w:rFonts w:ascii="inherit" w:eastAsia="Times New Roman" w:hAnsi="inherit" w:cs="Arial"/>
          <w:color w:val="000000"/>
          <w:spacing w:val="-1"/>
          <w:sz w:val="24"/>
          <w:szCs w:val="24"/>
          <w:lang w:eastAsia="tr-TR"/>
        </w:rPr>
        <w:t xml:space="preserve"> ürün </w:t>
      </w:r>
      <w:proofErr w:type="spellStart"/>
      <w:r w:rsidRPr="00577FC8">
        <w:rPr>
          <w:rFonts w:ascii="inherit" w:eastAsia="Times New Roman" w:hAnsi="inherit" w:cs="Arial"/>
          <w:color w:val="000000"/>
          <w:spacing w:val="-1"/>
          <w:sz w:val="24"/>
          <w:szCs w:val="24"/>
          <w:lang w:eastAsia="tr-TR"/>
        </w:rPr>
        <w:t>inovasyonlarıyla</w:t>
      </w:r>
      <w:proofErr w:type="spellEnd"/>
      <w:r w:rsidRPr="00577FC8">
        <w:rPr>
          <w:rFonts w:ascii="inherit" w:eastAsia="Times New Roman" w:hAnsi="inherit" w:cs="Arial"/>
          <w:color w:val="000000"/>
          <w:spacing w:val="-1"/>
          <w:sz w:val="24"/>
          <w:szCs w:val="24"/>
          <w:lang w:eastAsia="tr-TR"/>
        </w:rPr>
        <w:t xml:space="preserve"> büyümesini sürdürdü; </w:t>
      </w:r>
      <w:proofErr w:type="spellStart"/>
      <w:r w:rsidRPr="00577FC8">
        <w:rPr>
          <w:rFonts w:ascii="inherit" w:eastAsia="Times New Roman" w:hAnsi="inherit" w:cs="Arial"/>
          <w:color w:val="000000"/>
          <w:spacing w:val="-1"/>
          <w:sz w:val="24"/>
          <w:szCs w:val="24"/>
          <w:lang w:eastAsia="tr-TR"/>
        </w:rPr>
        <w:t>premium</w:t>
      </w:r>
      <w:proofErr w:type="spellEnd"/>
      <w:r w:rsidRPr="00577FC8">
        <w:rPr>
          <w:rFonts w:ascii="inherit" w:eastAsia="Times New Roman" w:hAnsi="inherit" w:cs="Arial"/>
          <w:color w:val="000000"/>
          <w:spacing w:val="-1"/>
          <w:sz w:val="24"/>
          <w:szCs w:val="24"/>
          <w:lang w:eastAsia="tr-TR"/>
        </w:rPr>
        <w:t xml:space="preserve"> ürünlerin gelir içindeki payı 2Ç25 itibarıyla %30’a yükseldi. Düşük </w:t>
      </w:r>
      <w:proofErr w:type="gramStart"/>
      <w:r w:rsidRPr="00577FC8">
        <w:rPr>
          <w:rFonts w:ascii="inherit" w:eastAsia="Times New Roman" w:hAnsi="inherit" w:cs="Arial"/>
          <w:color w:val="000000"/>
          <w:spacing w:val="-1"/>
          <w:sz w:val="24"/>
          <w:szCs w:val="24"/>
          <w:lang w:eastAsia="tr-TR"/>
        </w:rPr>
        <w:t>marjlı</w:t>
      </w:r>
      <w:proofErr w:type="gramEnd"/>
      <w:r w:rsidRPr="00577FC8">
        <w:rPr>
          <w:rFonts w:ascii="inherit" w:eastAsia="Times New Roman" w:hAnsi="inherit" w:cs="Arial"/>
          <w:color w:val="000000"/>
          <w:spacing w:val="-1"/>
          <w:sz w:val="24"/>
          <w:szCs w:val="24"/>
          <w:lang w:eastAsia="tr-TR"/>
        </w:rPr>
        <w:t xml:space="preserve"> satışların stratejik olarak azaltılmasıyla ürün karması ve karlılık iyileştirildi. İhracatın toplam gelirdeki payı %56’ya çıkarken, ABD’nin payı yeni tarife sistemi sayesinde %16’dan %18’e ulaştı. </w:t>
      </w:r>
      <w:proofErr w:type="spellStart"/>
      <w:r w:rsidRPr="00577FC8">
        <w:rPr>
          <w:rFonts w:ascii="inherit" w:eastAsia="Times New Roman" w:hAnsi="inherit" w:cs="Arial"/>
          <w:color w:val="000000"/>
          <w:spacing w:val="-1"/>
          <w:sz w:val="24"/>
          <w:szCs w:val="24"/>
          <w:lang w:eastAsia="tr-TR"/>
        </w:rPr>
        <w:t>Montanlı</w:t>
      </w:r>
      <w:proofErr w:type="spellEnd"/>
      <w:r w:rsidRPr="00577FC8">
        <w:rPr>
          <w:rFonts w:ascii="inherit" w:eastAsia="Times New Roman" w:hAnsi="inherit" w:cs="Arial"/>
          <w:color w:val="000000"/>
          <w:spacing w:val="-1"/>
          <w:sz w:val="24"/>
          <w:szCs w:val="24"/>
          <w:lang w:eastAsia="tr-TR"/>
        </w:rPr>
        <w:t xml:space="preserve"> yatırımların tamamlanmasının ardından şirket, </w:t>
      </w:r>
      <w:proofErr w:type="spellStart"/>
      <w:r w:rsidRPr="00577FC8">
        <w:rPr>
          <w:rFonts w:ascii="inherit" w:eastAsia="Times New Roman" w:hAnsi="inherit" w:cs="Arial"/>
          <w:color w:val="000000"/>
          <w:spacing w:val="-1"/>
          <w:sz w:val="24"/>
          <w:szCs w:val="24"/>
          <w:lang w:eastAsia="tr-TR"/>
        </w:rPr>
        <w:t>operasyonel</w:t>
      </w:r>
      <w:proofErr w:type="spellEnd"/>
      <w:r w:rsidRPr="00577FC8">
        <w:rPr>
          <w:rFonts w:ascii="inherit" w:eastAsia="Times New Roman" w:hAnsi="inherit" w:cs="Arial"/>
          <w:color w:val="000000"/>
          <w:spacing w:val="-1"/>
          <w:sz w:val="24"/>
          <w:szCs w:val="24"/>
          <w:lang w:eastAsia="tr-TR"/>
        </w:rPr>
        <w:t xml:space="preserve"> verimliliğe odaklanarak stok devir hızını artırdı ve net işletme sermayesi yönetimini güçlendirdi.</w:t>
      </w:r>
    </w:p>
    <w:p w:rsidR="00577FC8" w:rsidRPr="00577FC8" w:rsidRDefault="00577FC8" w:rsidP="00577FC8">
      <w:pPr>
        <w:spacing w:after="0" w:line="360" w:lineRule="atLeast"/>
        <w:ind w:left="150" w:right="150"/>
        <w:textAlignment w:val="baseline"/>
        <w:outlineLvl w:val="2"/>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 xml:space="preserve">Otomotiv &amp; </w:t>
      </w:r>
      <w:proofErr w:type="spellStart"/>
      <w:r w:rsidRPr="00577FC8">
        <w:rPr>
          <w:rFonts w:ascii="inherit" w:eastAsia="Times New Roman" w:hAnsi="inherit" w:cs="Arial"/>
          <w:b/>
          <w:bCs/>
          <w:color w:val="0A4975"/>
          <w:spacing w:val="-1"/>
          <w:sz w:val="27"/>
          <w:szCs w:val="27"/>
          <w:bdr w:val="none" w:sz="0" w:space="0" w:color="auto" w:frame="1"/>
          <w:lang w:eastAsia="tr-TR"/>
        </w:rPr>
        <w:t>Mobilite</w:t>
      </w:r>
      <w:proofErr w:type="spellEnd"/>
      <w:r w:rsidRPr="00577FC8">
        <w:rPr>
          <w:rFonts w:ascii="inherit" w:eastAsia="Times New Roman" w:hAnsi="inherit" w:cs="Arial"/>
          <w:b/>
          <w:bCs/>
          <w:color w:val="0A4975"/>
          <w:spacing w:val="-1"/>
          <w:sz w:val="27"/>
          <w:szCs w:val="27"/>
          <w:bdr w:val="none" w:sz="0" w:space="0" w:color="auto" w:frame="1"/>
          <w:lang w:eastAsia="tr-TR"/>
        </w:rPr>
        <w:t xml:space="preserve"> – Doğan Trend</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Binek araç satışları 2Ç25’te zayıf seyrini sürdürdü. Çin menşeli ithal araçlara uygulanan %60’lık vergi ve elektrikli araçlara getirilen servis zorunluluğu rekabet üzerinde baskı yarattı. Doğan Trend, stok eritme politikasıyla </w:t>
      </w:r>
      <w:proofErr w:type="spellStart"/>
      <w:r w:rsidRPr="00577FC8">
        <w:rPr>
          <w:rFonts w:ascii="inherit" w:eastAsia="Times New Roman" w:hAnsi="inherit" w:cs="Arial"/>
          <w:color w:val="000000"/>
          <w:spacing w:val="-1"/>
          <w:sz w:val="24"/>
          <w:szCs w:val="24"/>
          <w:lang w:eastAsia="tr-TR"/>
        </w:rPr>
        <w:t>motorsiklet</w:t>
      </w:r>
      <w:proofErr w:type="spellEnd"/>
      <w:r w:rsidRPr="00577FC8">
        <w:rPr>
          <w:rFonts w:ascii="inherit" w:eastAsia="Times New Roman" w:hAnsi="inherit" w:cs="Arial"/>
          <w:color w:val="000000"/>
          <w:spacing w:val="-1"/>
          <w:sz w:val="24"/>
          <w:szCs w:val="24"/>
          <w:lang w:eastAsia="tr-TR"/>
        </w:rPr>
        <w:t>, kiralık ve ikinci el araç satışlarını hızlandırarak nakit ve borç yönetimini destekledi. Hedefli kampanyalar ve daha yalın ticari yapı sayesinde motosiklet pazar payında hafif artış gözlendi.</w:t>
      </w:r>
    </w:p>
    <w:p w:rsidR="00577FC8" w:rsidRPr="00577FC8" w:rsidRDefault="00577FC8" w:rsidP="00577FC8">
      <w:pPr>
        <w:spacing w:after="0" w:line="360" w:lineRule="atLeast"/>
        <w:ind w:left="150" w:right="150"/>
        <w:textAlignment w:val="baseline"/>
        <w:outlineLvl w:val="2"/>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lastRenderedPageBreak/>
        <w:t>2025 Yılı Beklentilerinde Revizyon</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Şirketin açıklamasına göre, </w:t>
      </w:r>
      <w:proofErr w:type="gramStart"/>
      <w:r w:rsidRPr="00577FC8">
        <w:rPr>
          <w:rFonts w:ascii="inherit" w:eastAsia="Times New Roman" w:hAnsi="inherit" w:cs="Arial"/>
          <w:color w:val="000000"/>
          <w:spacing w:val="-1"/>
          <w:sz w:val="24"/>
          <w:szCs w:val="24"/>
          <w:lang w:eastAsia="tr-TR"/>
        </w:rPr>
        <w:t>portföy</w:t>
      </w:r>
      <w:proofErr w:type="gramEnd"/>
      <w:r w:rsidRPr="00577FC8">
        <w:rPr>
          <w:rFonts w:ascii="inherit" w:eastAsia="Times New Roman" w:hAnsi="inherit" w:cs="Arial"/>
          <w:color w:val="000000"/>
          <w:spacing w:val="-1"/>
          <w:sz w:val="24"/>
          <w:szCs w:val="24"/>
          <w:lang w:eastAsia="tr-TR"/>
        </w:rPr>
        <w:t xml:space="preserve"> şirketlerinin büyük kısmı 2025 yılı performansında beklentilerle uyumlu bir seyir izlemeye devam ederken, bazı iştirakler </w:t>
      </w:r>
      <w:proofErr w:type="spellStart"/>
      <w:r w:rsidRPr="00577FC8">
        <w:rPr>
          <w:rFonts w:ascii="inherit" w:eastAsia="Times New Roman" w:hAnsi="inherit" w:cs="Arial"/>
          <w:color w:val="000000"/>
          <w:spacing w:val="-1"/>
          <w:sz w:val="24"/>
          <w:szCs w:val="24"/>
          <w:lang w:eastAsia="tr-TR"/>
        </w:rPr>
        <w:t>operasyonel</w:t>
      </w:r>
      <w:proofErr w:type="spellEnd"/>
      <w:r w:rsidRPr="00577FC8">
        <w:rPr>
          <w:rFonts w:ascii="inherit" w:eastAsia="Times New Roman" w:hAnsi="inherit" w:cs="Arial"/>
          <w:color w:val="000000"/>
          <w:spacing w:val="-1"/>
          <w:sz w:val="24"/>
          <w:szCs w:val="24"/>
          <w:lang w:eastAsia="tr-TR"/>
        </w:rPr>
        <w:t xml:space="preserve"> hedeflerini de aşmıştır. Ancak, otomotiv sektörünü etkileyen son düzenlemeler Doğan Trend Otomotiv üzerinde olumsuz etki yaratmış ve Holding genelindeki olumlu tabloya sınırlı bir istisna oluşturmuştur.</w:t>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Bu gelişmeler ışığında, Doğan Holding </w:t>
      </w:r>
      <w:proofErr w:type="gramStart"/>
      <w:r w:rsidRPr="00577FC8">
        <w:rPr>
          <w:rFonts w:ascii="inherit" w:eastAsia="Times New Roman" w:hAnsi="inherit" w:cs="Arial"/>
          <w:color w:val="000000"/>
          <w:spacing w:val="-1"/>
          <w:sz w:val="24"/>
          <w:szCs w:val="24"/>
          <w:lang w:eastAsia="tr-TR"/>
        </w:rPr>
        <w:t>konsolide</w:t>
      </w:r>
      <w:proofErr w:type="gramEnd"/>
      <w:r w:rsidRPr="00577FC8">
        <w:rPr>
          <w:rFonts w:ascii="inherit" w:eastAsia="Times New Roman" w:hAnsi="inherit" w:cs="Arial"/>
          <w:color w:val="000000"/>
          <w:spacing w:val="-1"/>
          <w:sz w:val="24"/>
          <w:szCs w:val="24"/>
          <w:lang w:eastAsia="tr-TR"/>
        </w:rPr>
        <w:t xml:space="preserve"> gelir ve FAVÖK beklentilerini, söz konusu düzenlemenin etkilerini yansıtacak şekilde </w:t>
      </w:r>
      <w:r w:rsidRPr="00577FC8">
        <w:rPr>
          <w:rFonts w:ascii="inherit" w:eastAsia="Times New Roman" w:hAnsi="inherit" w:cs="Arial"/>
          <w:b/>
          <w:bCs/>
          <w:color w:val="000000"/>
          <w:spacing w:val="-1"/>
          <w:sz w:val="24"/>
          <w:szCs w:val="24"/>
          <w:bdr w:val="none" w:sz="0" w:space="0" w:color="auto" w:frame="1"/>
          <w:lang w:eastAsia="tr-TR"/>
        </w:rPr>
        <w:t>TÜFE-benzeri büyüme</w:t>
      </w:r>
      <w:r w:rsidRPr="00577FC8">
        <w:rPr>
          <w:rFonts w:ascii="inherit" w:eastAsia="Times New Roman" w:hAnsi="inherit" w:cs="Arial"/>
          <w:color w:val="000000"/>
          <w:spacing w:val="-1"/>
          <w:sz w:val="24"/>
          <w:szCs w:val="24"/>
          <w:lang w:eastAsia="tr-TR"/>
        </w:rPr>
        <w:t xml:space="preserve"> seviyesine revize etmiştir (önceki beklenti: TÜFE +5-8 puan gelir büyümesi; TÜFE +6-10 puan FAVÖK büyümesi – finansman ve yatırım </w:t>
      </w:r>
      <w:proofErr w:type="spellStart"/>
      <w:r w:rsidRPr="00577FC8">
        <w:rPr>
          <w:rFonts w:ascii="inherit" w:eastAsia="Times New Roman" w:hAnsi="inherit" w:cs="Arial"/>
          <w:color w:val="000000"/>
          <w:spacing w:val="-1"/>
          <w:sz w:val="24"/>
          <w:szCs w:val="24"/>
          <w:lang w:eastAsia="tr-TR"/>
        </w:rPr>
        <w:t>segmenti</w:t>
      </w:r>
      <w:proofErr w:type="spellEnd"/>
      <w:r w:rsidRPr="00577FC8">
        <w:rPr>
          <w:rFonts w:ascii="inherit" w:eastAsia="Times New Roman" w:hAnsi="inherit" w:cs="Arial"/>
          <w:color w:val="000000"/>
          <w:spacing w:val="-1"/>
          <w:sz w:val="24"/>
          <w:szCs w:val="24"/>
          <w:lang w:eastAsia="tr-TR"/>
        </w:rPr>
        <w:t xml:space="preserve"> hariç). Bunun dışında kalan </w:t>
      </w:r>
      <w:proofErr w:type="spellStart"/>
      <w:r w:rsidRPr="00577FC8">
        <w:rPr>
          <w:rFonts w:ascii="inherit" w:eastAsia="Times New Roman" w:hAnsi="inherit" w:cs="Arial"/>
          <w:color w:val="000000"/>
          <w:spacing w:val="-1"/>
          <w:sz w:val="24"/>
          <w:szCs w:val="24"/>
          <w:lang w:eastAsia="tr-TR"/>
        </w:rPr>
        <w:t>segment</w:t>
      </w:r>
      <w:proofErr w:type="spellEnd"/>
      <w:r w:rsidRPr="00577FC8">
        <w:rPr>
          <w:rFonts w:ascii="inherit" w:eastAsia="Times New Roman" w:hAnsi="inherit" w:cs="Arial"/>
          <w:color w:val="000000"/>
          <w:spacing w:val="-1"/>
          <w:sz w:val="24"/>
          <w:szCs w:val="24"/>
          <w:lang w:eastAsia="tr-TR"/>
        </w:rPr>
        <w:t xml:space="preserve"> beklentileri ise korunmuştur.</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Holding, bu sınırlı etkiye rağmen stratejik odak alanlarında büyümeye, </w:t>
      </w:r>
      <w:proofErr w:type="gramStart"/>
      <w:r w:rsidRPr="00577FC8">
        <w:rPr>
          <w:rFonts w:ascii="inherit" w:eastAsia="Times New Roman" w:hAnsi="inherit" w:cs="Arial"/>
          <w:color w:val="000000"/>
          <w:spacing w:val="-1"/>
          <w:sz w:val="24"/>
          <w:szCs w:val="24"/>
          <w:lang w:eastAsia="tr-TR"/>
        </w:rPr>
        <w:t>portföy</w:t>
      </w:r>
      <w:proofErr w:type="gramEnd"/>
      <w:r w:rsidRPr="00577FC8">
        <w:rPr>
          <w:rFonts w:ascii="inherit" w:eastAsia="Times New Roman" w:hAnsi="inherit" w:cs="Arial"/>
          <w:color w:val="000000"/>
          <w:spacing w:val="-1"/>
          <w:sz w:val="24"/>
          <w:szCs w:val="24"/>
          <w:lang w:eastAsia="tr-TR"/>
        </w:rPr>
        <w:t xml:space="preserve"> yapısını sadeleştirerek verimliliği artırmaya ve güçlü net nakit pozisyonunu disiplinli ve seçici yatırımlarla değerlendirmeye devam etmektedir. Uzun vadeli hedef, Net Aktif Değer’de (NAD) sürdürülebilir artış ve paydaşlara değer yaratma stratejisi doğrultusunda korunmaktadır.</w:t>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proofErr w:type="spellStart"/>
      <w:r w:rsidRPr="00577FC8">
        <w:rPr>
          <w:rFonts w:ascii="inherit" w:eastAsia="Times New Roman" w:hAnsi="inherit" w:cs="Arial"/>
          <w:b/>
          <w:bCs/>
          <w:color w:val="000000"/>
          <w:spacing w:val="-1"/>
          <w:sz w:val="24"/>
          <w:szCs w:val="24"/>
          <w:bdr w:val="none" w:sz="0" w:space="0" w:color="auto" w:frame="1"/>
          <w:lang w:eastAsia="tr-TR"/>
        </w:rPr>
        <w:t>Segment</w:t>
      </w:r>
      <w:proofErr w:type="spellEnd"/>
      <w:r w:rsidRPr="00577FC8">
        <w:rPr>
          <w:rFonts w:ascii="inherit" w:eastAsia="Times New Roman" w:hAnsi="inherit" w:cs="Arial"/>
          <w:b/>
          <w:bCs/>
          <w:color w:val="000000"/>
          <w:spacing w:val="-1"/>
          <w:sz w:val="24"/>
          <w:szCs w:val="24"/>
          <w:bdr w:val="none" w:sz="0" w:space="0" w:color="auto" w:frame="1"/>
          <w:lang w:eastAsia="tr-TR"/>
        </w:rPr>
        <w:t xml:space="preserve"> Bazlı Beklentiler:</w:t>
      </w:r>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b/>
          <w:bCs/>
          <w:color w:val="000000"/>
          <w:spacing w:val="-1"/>
          <w:sz w:val="24"/>
          <w:szCs w:val="24"/>
          <w:bdr w:val="none" w:sz="0" w:space="0" w:color="auto" w:frame="1"/>
          <w:lang w:eastAsia="tr-TR"/>
        </w:rPr>
        <w:t xml:space="preserve">Yenilenebilir Enerji – Galata </w:t>
      </w:r>
      <w:proofErr w:type="spellStart"/>
      <w:r w:rsidRPr="00577FC8">
        <w:rPr>
          <w:rFonts w:ascii="inherit" w:eastAsia="Times New Roman" w:hAnsi="inherit" w:cs="Arial"/>
          <w:b/>
          <w:bCs/>
          <w:color w:val="000000"/>
          <w:spacing w:val="-1"/>
          <w:sz w:val="24"/>
          <w:szCs w:val="24"/>
          <w:bdr w:val="none" w:sz="0" w:space="0" w:color="auto" w:frame="1"/>
          <w:lang w:eastAsia="tr-TR"/>
        </w:rPr>
        <w:t>Wind</w:t>
      </w:r>
      <w:proofErr w:type="spellEnd"/>
      <w:r w:rsidRPr="00577FC8">
        <w:rPr>
          <w:rFonts w:ascii="inherit" w:eastAsia="Times New Roman" w:hAnsi="inherit" w:cs="Arial"/>
          <w:color w:val="000000"/>
          <w:spacing w:val="-1"/>
          <w:sz w:val="24"/>
          <w:szCs w:val="24"/>
          <w:lang w:eastAsia="tr-TR"/>
        </w:rPr>
        <w:t> </w:t>
      </w:r>
      <w:r w:rsidRPr="00577FC8">
        <w:rPr>
          <w:rFonts w:ascii="inherit" w:eastAsia="Times New Roman" w:hAnsi="inherit" w:cs="Arial"/>
          <w:i/>
          <w:iCs/>
          <w:color w:val="000000"/>
          <w:spacing w:val="-1"/>
          <w:sz w:val="24"/>
          <w:szCs w:val="24"/>
          <w:bdr w:val="none" w:sz="0" w:space="0" w:color="auto" w:frame="1"/>
          <w:lang w:eastAsia="tr-TR"/>
        </w:rPr>
        <w:t>(Beklentiler Korundu)</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50+ </w:t>
      </w:r>
      <w:proofErr w:type="gramStart"/>
      <w:r w:rsidRPr="00577FC8">
        <w:rPr>
          <w:rFonts w:ascii="inherit" w:eastAsia="Times New Roman" w:hAnsi="inherit" w:cs="Arial"/>
          <w:color w:val="000000"/>
          <w:spacing w:val="-1"/>
          <w:sz w:val="24"/>
          <w:szCs w:val="24"/>
          <w:lang w:eastAsia="tr-TR"/>
        </w:rPr>
        <w:t>MW kurulu</w:t>
      </w:r>
      <w:proofErr w:type="gramEnd"/>
      <w:r w:rsidRPr="00577FC8">
        <w:rPr>
          <w:rFonts w:ascii="inherit" w:eastAsia="Times New Roman" w:hAnsi="inherit" w:cs="Arial"/>
          <w:color w:val="000000"/>
          <w:spacing w:val="-1"/>
          <w:sz w:val="24"/>
          <w:szCs w:val="24"/>
          <w:lang w:eastAsia="tr-TR"/>
        </w:rPr>
        <w:t xml:space="preserve"> güç artışı</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900 – 980 bin </w:t>
      </w:r>
      <w:proofErr w:type="spellStart"/>
      <w:r w:rsidRPr="00577FC8">
        <w:rPr>
          <w:rFonts w:ascii="inherit" w:eastAsia="Times New Roman" w:hAnsi="inherit" w:cs="Arial"/>
          <w:color w:val="000000"/>
          <w:spacing w:val="-1"/>
          <w:sz w:val="24"/>
          <w:szCs w:val="24"/>
          <w:lang w:eastAsia="tr-TR"/>
        </w:rPr>
        <w:t>MWh</w:t>
      </w:r>
      <w:proofErr w:type="spellEnd"/>
      <w:r w:rsidRPr="00577FC8">
        <w:rPr>
          <w:rFonts w:ascii="inherit" w:eastAsia="Times New Roman" w:hAnsi="inherit" w:cs="Arial"/>
          <w:color w:val="000000"/>
          <w:spacing w:val="-1"/>
          <w:sz w:val="24"/>
          <w:szCs w:val="24"/>
          <w:lang w:eastAsia="tr-TR"/>
        </w:rPr>
        <w:t xml:space="preserve"> yıllık elektrik üretimi</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%70 – %75 FAVÖK </w:t>
      </w:r>
      <w:proofErr w:type="gramStart"/>
      <w:r w:rsidRPr="00577FC8">
        <w:rPr>
          <w:rFonts w:ascii="inherit" w:eastAsia="Times New Roman" w:hAnsi="inherit" w:cs="Arial"/>
          <w:color w:val="000000"/>
          <w:spacing w:val="-1"/>
          <w:sz w:val="24"/>
          <w:szCs w:val="24"/>
          <w:lang w:eastAsia="tr-TR"/>
        </w:rPr>
        <w:t>marjı</w:t>
      </w:r>
      <w:proofErr w:type="gramEnd"/>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b/>
          <w:bCs/>
          <w:color w:val="000000"/>
          <w:spacing w:val="-1"/>
          <w:sz w:val="24"/>
          <w:szCs w:val="24"/>
          <w:bdr w:val="none" w:sz="0" w:space="0" w:color="auto" w:frame="1"/>
          <w:lang w:eastAsia="tr-TR"/>
        </w:rPr>
        <w:t>Madencilik – Gümüştaş Madencilik</w:t>
      </w:r>
      <w:r w:rsidRPr="00577FC8">
        <w:rPr>
          <w:rFonts w:ascii="inherit" w:eastAsia="Times New Roman" w:hAnsi="inherit" w:cs="Arial"/>
          <w:color w:val="000000"/>
          <w:spacing w:val="-1"/>
          <w:sz w:val="24"/>
          <w:szCs w:val="24"/>
          <w:lang w:eastAsia="tr-TR"/>
        </w:rPr>
        <w:t> </w:t>
      </w:r>
      <w:r w:rsidRPr="00577FC8">
        <w:rPr>
          <w:rFonts w:ascii="inherit" w:eastAsia="Times New Roman" w:hAnsi="inherit" w:cs="Arial"/>
          <w:i/>
          <w:iCs/>
          <w:color w:val="000000"/>
          <w:spacing w:val="-1"/>
          <w:sz w:val="24"/>
          <w:szCs w:val="24"/>
          <w:bdr w:val="none" w:sz="0" w:space="0" w:color="auto" w:frame="1"/>
          <w:lang w:eastAsia="tr-TR"/>
        </w:rPr>
        <w:t>(Beklentiler Korundu)</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TL bazında &gt; %50 gelir artışı</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%25 – %30 FAVÖK </w:t>
      </w:r>
      <w:proofErr w:type="gramStart"/>
      <w:r w:rsidRPr="00577FC8">
        <w:rPr>
          <w:rFonts w:ascii="inherit" w:eastAsia="Times New Roman" w:hAnsi="inherit" w:cs="Arial"/>
          <w:color w:val="000000"/>
          <w:spacing w:val="-1"/>
          <w:sz w:val="24"/>
          <w:szCs w:val="24"/>
          <w:lang w:eastAsia="tr-TR"/>
        </w:rPr>
        <w:t>marjı</w:t>
      </w:r>
      <w:proofErr w:type="gramEnd"/>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ABD doları bazında 40 – 45 </w:t>
      </w:r>
      <w:proofErr w:type="spellStart"/>
      <w:r w:rsidRPr="00577FC8">
        <w:rPr>
          <w:rFonts w:ascii="inherit" w:eastAsia="Times New Roman" w:hAnsi="inherit" w:cs="Arial"/>
          <w:color w:val="000000"/>
          <w:spacing w:val="-1"/>
          <w:sz w:val="24"/>
          <w:szCs w:val="24"/>
          <w:lang w:eastAsia="tr-TR"/>
        </w:rPr>
        <w:t>mn</w:t>
      </w:r>
      <w:proofErr w:type="spellEnd"/>
      <w:r w:rsidRPr="00577FC8">
        <w:rPr>
          <w:rFonts w:ascii="inherit" w:eastAsia="Times New Roman" w:hAnsi="inherit" w:cs="Arial"/>
          <w:color w:val="000000"/>
          <w:spacing w:val="-1"/>
          <w:sz w:val="24"/>
          <w:szCs w:val="24"/>
          <w:lang w:eastAsia="tr-TR"/>
        </w:rPr>
        <w:t xml:space="preserve"> yatırım harcaması</w:t>
      </w:r>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b/>
          <w:bCs/>
          <w:color w:val="000000"/>
          <w:spacing w:val="-1"/>
          <w:sz w:val="24"/>
          <w:szCs w:val="24"/>
          <w:bdr w:val="none" w:sz="0" w:space="0" w:color="auto" w:frame="1"/>
          <w:lang w:eastAsia="tr-TR"/>
        </w:rPr>
        <w:t xml:space="preserve">Dijital Finansal Hizmetler – </w:t>
      </w:r>
      <w:proofErr w:type="spellStart"/>
      <w:r w:rsidRPr="00577FC8">
        <w:rPr>
          <w:rFonts w:ascii="inherit" w:eastAsia="Times New Roman" w:hAnsi="inherit" w:cs="Arial"/>
          <w:b/>
          <w:bCs/>
          <w:color w:val="000000"/>
          <w:spacing w:val="-1"/>
          <w:sz w:val="24"/>
          <w:szCs w:val="24"/>
          <w:bdr w:val="none" w:sz="0" w:space="0" w:color="auto" w:frame="1"/>
          <w:lang w:eastAsia="tr-TR"/>
        </w:rPr>
        <w:t>Hepiyi</w:t>
      </w:r>
      <w:proofErr w:type="spellEnd"/>
      <w:r w:rsidRPr="00577FC8">
        <w:rPr>
          <w:rFonts w:ascii="inherit" w:eastAsia="Times New Roman" w:hAnsi="inherit" w:cs="Arial"/>
          <w:b/>
          <w:bCs/>
          <w:color w:val="000000"/>
          <w:spacing w:val="-1"/>
          <w:sz w:val="24"/>
          <w:szCs w:val="24"/>
          <w:bdr w:val="none" w:sz="0" w:space="0" w:color="auto" w:frame="1"/>
          <w:lang w:eastAsia="tr-TR"/>
        </w:rPr>
        <w:t xml:space="preserve"> Sigorta, D Yatırım Bankası, Doruk </w:t>
      </w:r>
      <w:proofErr w:type="spellStart"/>
      <w:r w:rsidRPr="00577FC8">
        <w:rPr>
          <w:rFonts w:ascii="inherit" w:eastAsia="Times New Roman" w:hAnsi="inherit" w:cs="Arial"/>
          <w:b/>
          <w:bCs/>
          <w:color w:val="000000"/>
          <w:spacing w:val="-1"/>
          <w:sz w:val="24"/>
          <w:szCs w:val="24"/>
          <w:bdr w:val="none" w:sz="0" w:space="0" w:color="auto" w:frame="1"/>
          <w:lang w:eastAsia="tr-TR"/>
        </w:rPr>
        <w:t>Faktoring</w:t>
      </w:r>
      <w:proofErr w:type="spellEnd"/>
      <w:r w:rsidRPr="00577FC8">
        <w:rPr>
          <w:rFonts w:ascii="inherit" w:eastAsia="Times New Roman" w:hAnsi="inherit" w:cs="Arial"/>
          <w:color w:val="000000"/>
          <w:spacing w:val="-1"/>
          <w:sz w:val="24"/>
          <w:szCs w:val="24"/>
          <w:lang w:eastAsia="tr-TR"/>
        </w:rPr>
        <w:t> </w:t>
      </w:r>
      <w:r w:rsidRPr="00577FC8">
        <w:rPr>
          <w:rFonts w:ascii="inherit" w:eastAsia="Times New Roman" w:hAnsi="inherit" w:cs="Arial"/>
          <w:i/>
          <w:iCs/>
          <w:color w:val="000000"/>
          <w:spacing w:val="-1"/>
          <w:sz w:val="24"/>
          <w:szCs w:val="24"/>
          <w:bdr w:val="none" w:sz="0" w:space="0" w:color="auto" w:frame="1"/>
          <w:lang w:eastAsia="tr-TR"/>
        </w:rPr>
        <w:t>(Beklentiler Korundu)</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proofErr w:type="spellStart"/>
      <w:r w:rsidRPr="00577FC8">
        <w:rPr>
          <w:rFonts w:ascii="inherit" w:eastAsia="Times New Roman" w:hAnsi="inherit" w:cs="Arial"/>
          <w:color w:val="000000"/>
          <w:spacing w:val="-1"/>
          <w:sz w:val="24"/>
          <w:szCs w:val="24"/>
          <w:lang w:eastAsia="tr-TR"/>
        </w:rPr>
        <w:t>Hepiyi’de</w:t>
      </w:r>
      <w:proofErr w:type="spellEnd"/>
      <w:r w:rsidRPr="00577FC8">
        <w:rPr>
          <w:rFonts w:ascii="inherit" w:eastAsia="Times New Roman" w:hAnsi="inherit" w:cs="Arial"/>
          <w:color w:val="000000"/>
          <w:spacing w:val="-1"/>
          <w:sz w:val="24"/>
          <w:szCs w:val="24"/>
          <w:lang w:eastAsia="tr-TR"/>
        </w:rPr>
        <w:t xml:space="preserve"> 250 – 300 </w:t>
      </w:r>
      <w:proofErr w:type="spellStart"/>
      <w:r w:rsidRPr="00577FC8">
        <w:rPr>
          <w:rFonts w:ascii="inherit" w:eastAsia="Times New Roman" w:hAnsi="inherit" w:cs="Arial"/>
          <w:color w:val="000000"/>
          <w:spacing w:val="-1"/>
          <w:sz w:val="24"/>
          <w:szCs w:val="24"/>
          <w:lang w:eastAsia="tr-TR"/>
        </w:rPr>
        <w:t>mn</w:t>
      </w:r>
      <w:proofErr w:type="spellEnd"/>
      <w:r w:rsidRPr="00577FC8">
        <w:rPr>
          <w:rFonts w:ascii="inherit" w:eastAsia="Times New Roman" w:hAnsi="inherit" w:cs="Arial"/>
          <w:color w:val="000000"/>
          <w:spacing w:val="-1"/>
          <w:sz w:val="24"/>
          <w:szCs w:val="24"/>
          <w:lang w:eastAsia="tr-TR"/>
        </w:rPr>
        <w:t xml:space="preserve"> ABD doları yönetilen </w:t>
      </w:r>
      <w:proofErr w:type="gramStart"/>
      <w:r w:rsidRPr="00577FC8">
        <w:rPr>
          <w:rFonts w:ascii="inherit" w:eastAsia="Times New Roman" w:hAnsi="inherit" w:cs="Arial"/>
          <w:color w:val="000000"/>
          <w:spacing w:val="-1"/>
          <w:sz w:val="24"/>
          <w:szCs w:val="24"/>
          <w:lang w:eastAsia="tr-TR"/>
        </w:rPr>
        <w:t>portföy</w:t>
      </w:r>
      <w:proofErr w:type="gramEnd"/>
      <w:r w:rsidRPr="00577FC8">
        <w:rPr>
          <w:rFonts w:ascii="inherit" w:eastAsia="Times New Roman" w:hAnsi="inherit" w:cs="Arial"/>
          <w:color w:val="000000"/>
          <w:spacing w:val="-1"/>
          <w:sz w:val="24"/>
          <w:szCs w:val="24"/>
          <w:lang w:eastAsia="tr-TR"/>
        </w:rPr>
        <w:t xml:space="preserve"> büyüklüğü artışı</w:t>
      </w:r>
    </w:p>
    <w:p w:rsidR="00577FC8" w:rsidRPr="00577FC8" w:rsidRDefault="00577FC8" w:rsidP="00577FC8">
      <w:pPr>
        <w:numPr>
          <w:ilvl w:val="0"/>
          <w:numId w:val="1"/>
        </w:numPr>
        <w:spacing w:after="15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Finansal hizmetler toplamında TL bazında &gt; %70 gelir artışı</w:t>
      </w:r>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b/>
          <w:bCs/>
          <w:color w:val="000000"/>
          <w:spacing w:val="-1"/>
          <w:sz w:val="24"/>
          <w:szCs w:val="24"/>
          <w:bdr w:val="none" w:sz="0" w:space="0" w:color="auto" w:frame="1"/>
          <w:lang w:eastAsia="tr-TR"/>
        </w:rPr>
        <w:t>Konsolide Beklentiler:</w:t>
      </w:r>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Gelir Büyümesi: </w:t>
      </w:r>
      <w:r w:rsidRPr="00577FC8">
        <w:rPr>
          <w:rFonts w:ascii="inherit" w:eastAsia="Times New Roman" w:hAnsi="inherit" w:cs="Arial"/>
          <w:b/>
          <w:bCs/>
          <w:color w:val="000000"/>
          <w:spacing w:val="-1"/>
          <w:sz w:val="24"/>
          <w:szCs w:val="24"/>
          <w:bdr w:val="none" w:sz="0" w:space="0" w:color="auto" w:frame="1"/>
          <w:lang w:eastAsia="tr-TR"/>
        </w:rPr>
        <w:t>TÜFE-benzeri</w:t>
      </w:r>
      <w:r w:rsidRPr="00577FC8">
        <w:rPr>
          <w:rFonts w:ascii="inherit" w:eastAsia="Times New Roman" w:hAnsi="inherit" w:cs="Arial"/>
          <w:color w:val="000000"/>
          <w:spacing w:val="-1"/>
          <w:sz w:val="24"/>
          <w:szCs w:val="24"/>
          <w:lang w:eastAsia="tr-TR"/>
        </w:rPr>
        <w:t> (önceki: TÜFE +5-8 puan)</w:t>
      </w:r>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FAVÖK Büyümesi: </w:t>
      </w:r>
      <w:r w:rsidRPr="00577FC8">
        <w:rPr>
          <w:rFonts w:ascii="inherit" w:eastAsia="Times New Roman" w:hAnsi="inherit" w:cs="Arial"/>
          <w:b/>
          <w:bCs/>
          <w:color w:val="000000"/>
          <w:spacing w:val="-1"/>
          <w:sz w:val="24"/>
          <w:szCs w:val="24"/>
          <w:bdr w:val="none" w:sz="0" w:space="0" w:color="auto" w:frame="1"/>
          <w:lang w:eastAsia="tr-TR"/>
        </w:rPr>
        <w:t>TÜFE-benzeri</w:t>
      </w:r>
      <w:r w:rsidRPr="00577FC8">
        <w:rPr>
          <w:rFonts w:ascii="inherit" w:eastAsia="Times New Roman" w:hAnsi="inherit" w:cs="Arial"/>
          <w:color w:val="000000"/>
          <w:spacing w:val="-1"/>
          <w:sz w:val="24"/>
          <w:szCs w:val="24"/>
          <w:lang w:eastAsia="tr-TR"/>
        </w:rPr>
        <w:t xml:space="preserve"> (önceki: TÜFE +6-10 puan, finansman ve yatırım </w:t>
      </w:r>
      <w:proofErr w:type="spellStart"/>
      <w:r w:rsidRPr="00577FC8">
        <w:rPr>
          <w:rFonts w:ascii="inherit" w:eastAsia="Times New Roman" w:hAnsi="inherit" w:cs="Arial"/>
          <w:color w:val="000000"/>
          <w:spacing w:val="-1"/>
          <w:sz w:val="24"/>
          <w:szCs w:val="24"/>
          <w:lang w:eastAsia="tr-TR"/>
        </w:rPr>
        <w:t>segmenti</w:t>
      </w:r>
      <w:proofErr w:type="spellEnd"/>
      <w:r w:rsidRPr="00577FC8">
        <w:rPr>
          <w:rFonts w:ascii="inherit" w:eastAsia="Times New Roman" w:hAnsi="inherit" w:cs="Arial"/>
          <w:color w:val="000000"/>
          <w:spacing w:val="-1"/>
          <w:sz w:val="24"/>
          <w:szCs w:val="24"/>
          <w:lang w:eastAsia="tr-TR"/>
        </w:rPr>
        <w:t xml:space="preserve"> hariç)</w:t>
      </w:r>
    </w:p>
    <w:p w:rsidR="00577FC8" w:rsidRPr="00577FC8" w:rsidRDefault="00577FC8" w:rsidP="00577FC8">
      <w:pPr>
        <w:numPr>
          <w:ilvl w:val="0"/>
          <w:numId w:val="1"/>
        </w:numPr>
        <w:spacing w:after="0" w:line="300" w:lineRule="atLeast"/>
        <w:ind w:left="225" w:right="225"/>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Net Aktif Değer Artışı: ABD doları bazında yıllık %5 – 10 (korundu)</w:t>
      </w:r>
    </w:p>
    <w:p w:rsidR="00577FC8" w:rsidRPr="00577FC8" w:rsidRDefault="00577FC8" w:rsidP="00577FC8">
      <w:pPr>
        <w:spacing w:after="0" w:line="360" w:lineRule="atLeast"/>
        <w:ind w:left="150" w:right="150"/>
        <w:textAlignment w:val="baseline"/>
        <w:outlineLvl w:val="1"/>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Temettü</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2024 net karından 800 </w:t>
      </w:r>
      <w:proofErr w:type="spellStart"/>
      <w:r w:rsidRPr="00577FC8">
        <w:rPr>
          <w:rFonts w:ascii="inherit" w:eastAsia="Times New Roman" w:hAnsi="inherit" w:cs="Arial"/>
          <w:color w:val="000000"/>
          <w:spacing w:val="-1"/>
          <w:sz w:val="24"/>
          <w:szCs w:val="24"/>
          <w:lang w:eastAsia="tr-TR"/>
        </w:rPr>
        <w:t>mn</w:t>
      </w:r>
      <w:proofErr w:type="spellEnd"/>
      <w:r w:rsidRPr="00577FC8">
        <w:rPr>
          <w:rFonts w:ascii="inherit" w:eastAsia="Times New Roman" w:hAnsi="inherit" w:cs="Arial"/>
          <w:color w:val="000000"/>
          <w:spacing w:val="-1"/>
          <w:sz w:val="24"/>
          <w:szCs w:val="24"/>
          <w:lang w:eastAsia="tr-TR"/>
        </w:rPr>
        <w:t xml:space="preserve"> TL brüt temettü ödemesi Genel Kurul’da onaylandı. 1 TL Nominal Değerli Paya Ödenecek Nakit Kar Payı – Brüt 0,305 (TL), Net 0,259 (TL) olarak 1 Eylül 2025’te ödenecek.</w:t>
      </w:r>
    </w:p>
    <w:p w:rsidR="00577FC8" w:rsidRPr="00577FC8" w:rsidRDefault="00577FC8" w:rsidP="00577FC8">
      <w:pPr>
        <w:spacing w:after="0" w:line="360" w:lineRule="atLeast"/>
        <w:ind w:left="150" w:right="150"/>
        <w:textAlignment w:val="baseline"/>
        <w:outlineLvl w:val="1"/>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Net Aktif Değer ve Likidite Durumu</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lastRenderedPageBreak/>
        <w:t xml:space="preserve">Holding’in Net Aktif Değeri 2,6 milyar ABD doları seviyesine yükseldi. Halka açık iştiraklerin piyasa değeri </w:t>
      </w:r>
      <w:proofErr w:type="spellStart"/>
      <w:r w:rsidRPr="00577FC8">
        <w:rPr>
          <w:rFonts w:ascii="inherit" w:eastAsia="Times New Roman" w:hAnsi="inherit" w:cs="Arial"/>
          <w:color w:val="000000"/>
          <w:spacing w:val="-1"/>
          <w:sz w:val="24"/>
          <w:szCs w:val="24"/>
          <w:lang w:eastAsia="tr-TR"/>
        </w:rPr>
        <w:t>çeyreksel</w:t>
      </w:r>
      <w:proofErr w:type="spellEnd"/>
      <w:r w:rsidRPr="00577FC8">
        <w:rPr>
          <w:rFonts w:ascii="inherit" w:eastAsia="Times New Roman" w:hAnsi="inherit" w:cs="Arial"/>
          <w:color w:val="000000"/>
          <w:spacing w:val="-1"/>
          <w:sz w:val="24"/>
          <w:szCs w:val="24"/>
          <w:lang w:eastAsia="tr-TR"/>
        </w:rPr>
        <w:t xml:space="preserve"> </w:t>
      </w:r>
      <w:proofErr w:type="gramStart"/>
      <w:r w:rsidRPr="00577FC8">
        <w:rPr>
          <w:rFonts w:ascii="inherit" w:eastAsia="Times New Roman" w:hAnsi="inherit" w:cs="Arial"/>
          <w:color w:val="000000"/>
          <w:spacing w:val="-1"/>
          <w:sz w:val="24"/>
          <w:szCs w:val="24"/>
          <w:lang w:eastAsia="tr-TR"/>
        </w:rPr>
        <w:t>bazda</w:t>
      </w:r>
      <w:proofErr w:type="gramEnd"/>
      <w:r w:rsidRPr="00577FC8">
        <w:rPr>
          <w:rFonts w:ascii="inherit" w:eastAsia="Times New Roman" w:hAnsi="inherit" w:cs="Arial"/>
          <w:color w:val="000000"/>
          <w:spacing w:val="-1"/>
          <w:sz w:val="24"/>
          <w:szCs w:val="24"/>
          <w:lang w:eastAsia="tr-TR"/>
        </w:rPr>
        <w:t xml:space="preserve"> sınırlı gerilerken, borsada işlem görmeyen şirketlerin güçlü </w:t>
      </w:r>
      <w:proofErr w:type="spellStart"/>
      <w:r w:rsidRPr="00577FC8">
        <w:rPr>
          <w:rFonts w:ascii="inherit" w:eastAsia="Times New Roman" w:hAnsi="inherit" w:cs="Arial"/>
          <w:color w:val="000000"/>
          <w:spacing w:val="-1"/>
          <w:sz w:val="24"/>
          <w:szCs w:val="24"/>
          <w:lang w:eastAsia="tr-TR"/>
        </w:rPr>
        <w:t>operasyonel</w:t>
      </w:r>
      <w:proofErr w:type="spellEnd"/>
      <w:r w:rsidRPr="00577FC8">
        <w:rPr>
          <w:rFonts w:ascii="inherit" w:eastAsia="Times New Roman" w:hAnsi="inherit" w:cs="Arial"/>
          <w:color w:val="000000"/>
          <w:spacing w:val="-1"/>
          <w:sz w:val="24"/>
          <w:szCs w:val="24"/>
          <w:lang w:eastAsia="tr-TR"/>
        </w:rPr>
        <w:t xml:space="preserve"> performansı, benzer şirket çarpanlarına dayalı değerlemeyi olumlu etkiledi. Solo net nakit pozisyonu ise ihtiyatlı likidite yönetimi sayesinde 2Ç25’te yaklaşık 662 milyon ABD doları seviyesine hafifçe yükseldi. Şirketin yatırımcı sunumunda paylaştığı güncel bilgilere göre %61 </w:t>
      </w:r>
      <w:proofErr w:type="spellStart"/>
      <w:r w:rsidRPr="00577FC8">
        <w:rPr>
          <w:rFonts w:ascii="inherit" w:eastAsia="Times New Roman" w:hAnsi="inherit" w:cs="Arial"/>
          <w:color w:val="000000"/>
          <w:spacing w:val="-1"/>
          <w:sz w:val="24"/>
          <w:szCs w:val="24"/>
          <w:lang w:eastAsia="tr-TR"/>
        </w:rPr>
        <w:t>iskonto</w:t>
      </w:r>
      <w:proofErr w:type="spellEnd"/>
      <w:r w:rsidRPr="00577FC8">
        <w:rPr>
          <w:rFonts w:ascii="inherit" w:eastAsia="Times New Roman" w:hAnsi="inherit" w:cs="Arial"/>
          <w:color w:val="000000"/>
          <w:spacing w:val="-1"/>
          <w:sz w:val="24"/>
          <w:szCs w:val="24"/>
          <w:lang w:eastAsia="tr-TR"/>
        </w:rPr>
        <w:t xml:space="preserve"> sunmaktadır.</w:t>
      </w:r>
    </w:p>
    <w:p w:rsidR="00577FC8" w:rsidRPr="00577FC8" w:rsidRDefault="00577FC8" w:rsidP="00577FC8">
      <w:pPr>
        <w:spacing w:after="0" w:line="360" w:lineRule="atLeast"/>
        <w:ind w:left="150" w:right="150"/>
        <w:textAlignment w:val="baseline"/>
        <w:outlineLvl w:val="1"/>
        <w:rPr>
          <w:rFonts w:ascii="inherit" w:eastAsia="Times New Roman" w:hAnsi="inherit" w:cs="Arial"/>
          <w:b/>
          <w:bCs/>
          <w:color w:val="0A4975"/>
          <w:spacing w:val="-1"/>
          <w:sz w:val="27"/>
          <w:szCs w:val="27"/>
          <w:lang w:eastAsia="tr-TR"/>
        </w:rPr>
      </w:pPr>
      <w:r w:rsidRPr="00577FC8">
        <w:rPr>
          <w:rFonts w:ascii="inherit" w:eastAsia="Times New Roman" w:hAnsi="inherit" w:cs="Arial"/>
          <w:b/>
          <w:bCs/>
          <w:color w:val="0A4975"/>
          <w:spacing w:val="-1"/>
          <w:sz w:val="27"/>
          <w:szCs w:val="27"/>
          <w:bdr w:val="none" w:sz="0" w:space="0" w:color="auto" w:frame="1"/>
          <w:lang w:eastAsia="tr-TR"/>
        </w:rPr>
        <w:t>Değerleme:</w:t>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b/>
          <w:bCs/>
          <w:color w:val="000000"/>
          <w:spacing w:val="-1"/>
          <w:sz w:val="24"/>
          <w:szCs w:val="24"/>
          <w:bdr w:val="none" w:sz="0" w:space="0" w:color="auto" w:frame="1"/>
          <w:lang w:eastAsia="tr-TR"/>
        </w:rPr>
        <w:t>DOHOL</w:t>
      </w:r>
      <w:r w:rsidRPr="00577FC8">
        <w:rPr>
          <w:rFonts w:ascii="inherit" w:eastAsia="Times New Roman" w:hAnsi="inherit" w:cs="Arial"/>
          <w:color w:val="000000"/>
          <w:spacing w:val="-1"/>
          <w:sz w:val="24"/>
          <w:szCs w:val="24"/>
          <w:lang w:eastAsia="tr-TR"/>
        </w:rPr>
        <w:t xml:space="preserve"> şirketine yönelik hedef fiyat tahminimize yönelik çalışmamızı Net Aktif Değer </w:t>
      </w:r>
      <w:proofErr w:type="spellStart"/>
      <w:r w:rsidRPr="00577FC8">
        <w:rPr>
          <w:rFonts w:ascii="inherit" w:eastAsia="Times New Roman" w:hAnsi="inherit" w:cs="Arial"/>
          <w:color w:val="000000"/>
          <w:spacing w:val="-1"/>
          <w:sz w:val="24"/>
          <w:szCs w:val="24"/>
          <w:lang w:eastAsia="tr-TR"/>
        </w:rPr>
        <w:t>iskontosu</w:t>
      </w:r>
      <w:proofErr w:type="spellEnd"/>
      <w:r w:rsidRPr="00577FC8">
        <w:rPr>
          <w:rFonts w:ascii="inherit" w:eastAsia="Times New Roman" w:hAnsi="inherit" w:cs="Arial"/>
          <w:color w:val="000000"/>
          <w:spacing w:val="-1"/>
          <w:sz w:val="24"/>
          <w:szCs w:val="24"/>
          <w:lang w:eastAsia="tr-TR"/>
        </w:rPr>
        <w:t xml:space="preserve"> dikkate alınarak Piyasa Değeri / Net Aktif Değer çarpanı üzerinden hem şirket hem de </w:t>
      </w:r>
      <w:proofErr w:type="spellStart"/>
      <w:r w:rsidRPr="00577FC8">
        <w:rPr>
          <w:rFonts w:ascii="inherit" w:eastAsia="Times New Roman" w:hAnsi="inherit" w:cs="Arial"/>
          <w:color w:val="000000"/>
          <w:spacing w:val="-1"/>
          <w:sz w:val="24"/>
          <w:szCs w:val="24"/>
          <w:lang w:eastAsia="tr-TR"/>
        </w:rPr>
        <w:t>sektörel</w:t>
      </w:r>
      <w:proofErr w:type="spellEnd"/>
      <w:r w:rsidRPr="00577FC8">
        <w:rPr>
          <w:rFonts w:ascii="inherit" w:eastAsia="Times New Roman" w:hAnsi="inherit" w:cs="Arial"/>
          <w:color w:val="000000"/>
          <w:spacing w:val="-1"/>
          <w:sz w:val="24"/>
          <w:szCs w:val="24"/>
          <w:lang w:eastAsia="tr-TR"/>
        </w:rPr>
        <w:t xml:space="preserve"> </w:t>
      </w:r>
      <w:proofErr w:type="gramStart"/>
      <w:r w:rsidRPr="00577FC8">
        <w:rPr>
          <w:rFonts w:ascii="inherit" w:eastAsia="Times New Roman" w:hAnsi="inherit" w:cs="Arial"/>
          <w:color w:val="000000"/>
          <w:spacing w:val="-1"/>
          <w:sz w:val="24"/>
          <w:szCs w:val="24"/>
          <w:lang w:eastAsia="tr-TR"/>
        </w:rPr>
        <w:t>bazdaki</w:t>
      </w:r>
      <w:proofErr w:type="gramEnd"/>
      <w:r w:rsidRPr="00577FC8">
        <w:rPr>
          <w:rFonts w:ascii="inherit" w:eastAsia="Times New Roman" w:hAnsi="inherit" w:cs="Arial"/>
          <w:color w:val="000000"/>
          <w:spacing w:val="-1"/>
          <w:sz w:val="24"/>
          <w:szCs w:val="24"/>
          <w:lang w:eastAsia="tr-TR"/>
        </w:rPr>
        <w:t xml:space="preserve"> değişiklikler dikkate alınarak hesaplanmıştır.</w:t>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DOHOL şirketine yönelik son 10 dönem (2023/03 – 2025/06) Piyasa Değeri / Net Aktif Değer çarpanı incelediğimizde ortalama 0,63, medyan ise 0,57 olarak izlenmektedir.</w:t>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i/>
          <w:iCs/>
          <w:noProof/>
          <w:color w:val="000000"/>
          <w:spacing w:val="-1"/>
          <w:sz w:val="24"/>
          <w:szCs w:val="24"/>
          <w:bdr w:val="none" w:sz="0" w:space="0" w:color="auto" w:frame="1"/>
          <w:lang w:eastAsia="tr-TR"/>
        </w:rPr>
        <w:drawing>
          <wp:inline distT="0" distB="0" distL="0" distR="0">
            <wp:extent cx="5781675" cy="3076575"/>
            <wp:effectExtent l="0" t="0" r="9525" b="9525"/>
            <wp:docPr id="2" name="Resim 2" descr="https://www.gcmyatirim.com.tr/wp-content/uploads/2025/08/13/nad_1755073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cmyatirim.com.tr/wp-content/uploads/2025/08/13/nad_17550733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3076575"/>
                    </a:xfrm>
                    <a:prstGeom prst="rect">
                      <a:avLst/>
                    </a:prstGeom>
                    <a:noFill/>
                    <a:ln>
                      <a:noFill/>
                    </a:ln>
                  </pic:spPr>
                </pic:pic>
              </a:graphicData>
            </a:graphic>
          </wp:inline>
        </w:drawing>
      </w:r>
    </w:p>
    <w:p w:rsidR="00577FC8" w:rsidRPr="00577FC8" w:rsidRDefault="00577FC8" w:rsidP="00577FC8">
      <w:pPr>
        <w:spacing w:after="225"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color w:val="000000"/>
          <w:spacing w:val="-1"/>
          <w:sz w:val="24"/>
          <w:szCs w:val="24"/>
          <w:lang w:eastAsia="tr-TR"/>
        </w:rPr>
        <w:t xml:space="preserve">Holding sektörüne yönelik 55 şirket yer almaktadır. Modellememizi </w:t>
      </w:r>
      <w:proofErr w:type="spellStart"/>
      <w:r w:rsidRPr="00577FC8">
        <w:rPr>
          <w:rFonts w:ascii="inherit" w:eastAsia="Times New Roman" w:hAnsi="inherit" w:cs="Arial"/>
          <w:color w:val="000000"/>
          <w:spacing w:val="-1"/>
          <w:sz w:val="24"/>
          <w:szCs w:val="24"/>
          <w:lang w:eastAsia="tr-TR"/>
        </w:rPr>
        <w:t>sektörel</w:t>
      </w:r>
      <w:proofErr w:type="spellEnd"/>
      <w:r w:rsidRPr="00577FC8">
        <w:rPr>
          <w:rFonts w:ascii="inherit" w:eastAsia="Times New Roman" w:hAnsi="inherit" w:cs="Arial"/>
          <w:color w:val="000000"/>
          <w:spacing w:val="-1"/>
          <w:sz w:val="24"/>
          <w:szCs w:val="24"/>
          <w:lang w:eastAsia="tr-TR"/>
        </w:rPr>
        <w:t xml:space="preserve"> </w:t>
      </w:r>
      <w:proofErr w:type="gramStart"/>
      <w:r w:rsidRPr="00577FC8">
        <w:rPr>
          <w:rFonts w:ascii="inherit" w:eastAsia="Times New Roman" w:hAnsi="inherit" w:cs="Arial"/>
          <w:color w:val="000000"/>
          <w:spacing w:val="-1"/>
          <w:sz w:val="24"/>
          <w:szCs w:val="24"/>
          <w:lang w:eastAsia="tr-TR"/>
        </w:rPr>
        <w:t>bazda</w:t>
      </w:r>
      <w:proofErr w:type="gramEnd"/>
      <w:r w:rsidRPr="00577FC8">
        <w:rPr>
          <w:rFonts w:ascii="inherit" w:eastAsia="Times New Roman" w:hAnsi="inherit" w:cs="Arial"/>
          <w:color w:val="000000"/>
          <w:spacing w:val="-1"/>
          <w:sz w:val="24"/>
          <w:szCs w:val="24"/>
          <w:lang w:eastAsia="tr-TR"/>
        </w:rPr>
        <w:t xml:space="preserve"> değişimleri de görebilmek adına piyasa değeri 25 milyar TL ve üzerinde olan şirketlerin PD/NAD değerleri en güncel finansal sonuçlarına göre hesaplandı ve 18 şirketin PD/NAD medyan değeri 1,52 çıkmaktadır. Bu düşünce piyasa değeri 100 milyar TL ve üzerindeki 4 şirkete göre hesaplandığında ise PD/NAD medyan değeri 0,74 çıkmaktadır.</w:t>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i/>
          <w:iCs/>
          <w:noProof/>
          <w:color w:val="000000"/>
          <w:spacing w:val="-1"/>
          <w:sz w:val="24"/>
          <w:szCs w:val="24"/>
          <w:bdr w:val="none" w:sz="0" w:space="0" w:color="auto" w:frame="1"/>
          <w:lang w:eastAsia="tr-TR"/>
        </w:rPr>
        <w:lastRenderedPageBreak/>
        <w:drawing>
          <wp:inline distT="0" distB="0" distL="0" distR="0">
            <wp:extent cx="7534275" cy="4676775"/>
            <wp:effectExtent l="0" t="0" r="9525" b="9525"/>
            <wp:docPr id="1" name="Resim 1" descr="https://www.gcmyatirim.com.tr/wp-content/uploads/2025/08/13/sirket_1755073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cmyatirim.com.tr/wp-content/uploads/2025/08/13/sirket_17550733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4676775"/>
                    </a:xfrm>
                    <a:prstGeom prst="rect">
                      <a:avLst/>
                    </a:prstGeom>
                    <a:noFill/>
                    <a:ln>
                      <a:noFill/>
                    </a:ln>
                  </pic:spPr>
                </pic:pic>
              </a:graphicData>
            </a:graphic>
          </wp:inline>
        </w:drawing>
      </w:r>
    </w:p>
    <w:p w:rsidR="00577FC8" w:rsidRPr="00577FC8" w:rsidRDefault="00577FC8" w:rsidP="00577FC8">
      <w:pPr>
        <w:spacing w:after="0" w:line="300" w:lineRule="atLeast"/>
        <w:ind w:left="150" w:right="150"/>
        <w:textAlignment w:val="baseline"/>
        <w:rPr>
          <w:rFonts w:ascii="inherit" w:eastAsia="Times New Roman" w:hAnsi="inherit" w:cs="Arial"/>
          <w:color w:val="000000"/>
          <w:spacing w:val="-1"/>
          <w:sz w:val="24"/>
          <w:szCs w:val="24"/>
          <w:lang w:eastAsia="tr-TR"/>
        </w:rPr>
      </w:pPr>
      <w:r w:rsidRPr="00577FC8">
        <w:rPr>
          <w:rFonts w:ascii="inherit" w:eastAsia="Times New Roman" w:hAnsi="inherit" w:cs="Arial"/>
          <w:i/>
          <w:iCs/>
          <w:color w:val="000000"/>
          <w:spacing w:val="-1"/>
          <w:sz w:val="24"/>
          <w:szCs w:val="24"/>
          <w:bdr w:val="none" w:sz="0" w:space="0" w:color="auto" w:frame="1"/>
          <w:lang w:eastAsia="tr-TR"/>
        </w:rPr>
        <w:t xml:space="preserve">Dolasıyla hem DOHOL şirketinin kendisi hem de </w:t>
      </w:r>
      <w:proofErr w:type="spellStart"/>
      <w:r w:rsidRPr="00577FC8">
        <w:rPr>
          <w:rFonts w:ascii="inherit" w:eastAsia="Times New Roman" w:hAnsi="inherit" w:cs="Arial"/>
          <w:i/>
          <w:iCs/>
          <w:color w:val="000000"/>
          <w:spacing w:val="-1"/>
          <w:sz w:val="24"/>
          <w:szCs w:val="24"/>
          <w:bdr w:val="none" w:sz="0" w:space="0" w:color="auto" w:frame="1"/>
          <w:lang w:eastAsia="tr-TR"/>
        </w:rPr>
        <w:t>sektörel</w:t>
      </w:r>
      <w:proofErr w:type="spellEnd"/>
      <w:r w:rsidRPr="00577FC8">
        <w:rPr>
          <w:rFonts w:ascii="inherit" w:eastAsia="Times New Roman" w:hAnsi="inherit" w:cs="Arial"/>
          <w:i/>
          <w:iCs/>
          <w:color w:val="000000"/>
          <w:spacing w:val="-1"/>
          <w:sz w:val="24"/>
          <w:szCs w:val="24"/>
          <w:bdr w:val="none" w:sz="0" w:space="0" w:color="auto" w:frame="1"/>
          <w:lang w:eastAsia="tr-TR"/>
        </w:rPr>
        <w:t xml:space="preserve"> </w:t>
      </w:r>
      <w:proofErr w:type="gramStart"/>
      <w:r w:rsidRPr="00577FC8">
        <w:rPr>
          <w:rFonts w:ascii="inherit" w:eastAsia="Times New Roman" w:hAnsi="inherit" w:cs="Arial"/>
          <w:i/>
          <w:iCs/>
          <w:color w:val="000000"/>
          <w:spacing w:val="-1"/>
          <w:sz w:val="24"/>
          <w:szCs w:val="24"/>
          <w:bdr w:val="none" w:sz="0" w:space="0" w:color="auto" w:frame="1"/>
          <w:lang w:eastAsia="tr-TR"/>
        </w:rPr>
        <w:t>bazdaki</w:t>
      </w:r>
      <w:proofErr w:type="gramEnd"/>
      <w:r w:rsidRPr="00577FC8">
        <w:rPr>
          <w:rFonts w:ascii="inherit" w:eastAsia="Times New Roman" w:hAnsi="inherit" w:cs="Arial"/>
          <w:i/>
          <w:iCs/>
          <w:color w:val="000000"/>
          <w:spacing w:val="-1"/>
          <w:sz w:val="24"/>
          <w:szCs w:val="24"/>
          <w:bdr w:val="none" w:sz="0" w:space="0" w:color="auto" w:frame="1"/>
          <w:lang w:eastAsia="tr-TR"/>
        </w:rPr>
        <w:t xml:space="preserve"> medyan PD/NAD değerler dikkate alınarak DOHOL şirketine yönelik tahminimiz 37,44 TL olarak kaydedilmiştir. Güncel fiyat ile kıyaslandığında uzun vadeli teknik analiz yöntemiyle geçmiş zirvelerden uzaklık, (2) merkez bankasının enflasyona uyarlı para politikası teması, (3) sektör içerisindeki düşük çarpanlara sahip olması, (4) yabancı bakış açısında sektörün uygun çarpanlara sahip olmasının verdiği avantaj ile uzun vadeli olarak sektörün olası iyimser fiyatlama davranışından destek bulabilir.</w:t>
      </w:r>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458D0"/>
    <w:multiLevelType w:val="multilevel"/>
    <w:tmpl w:val="D15E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C8"/>
    <w:rsid w:val="00376999"/>
    <w:rsid w:val="00577FC8"/>
    <w:rsid w:val="00EF0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77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77F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77FC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7FC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77FC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77FC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77FC8"/>
    <w:rPr>
      <w:color w:val="0000FF"/>
      <w:u w:val="single"/>
    </w:rPr>
  </w:style>
  <w:style w:type="character" w:styleId="Gl">
    <w:name w:val="Strong"/>
    <w:basedOn w:val="VarsaylanParagrafYazTipi"/>
    <w:uiPriority w:val="22"/>
    <w:qFormat/>
    <w:rsid w:val="00577FC8"/>
    <w:rPr>
      <w:b/>
      <w:bCs/>
    </w:rPr>
  </w:style>
  <w:style w:type="paragraph" w:styleId="NormalWeb">
    <w:name w:val="Normal (Web)"/>
    <w:basedOn w:val="Normal"/>
    <w:uiPriority w:val="99"/>
    <w:semiHidden/>
    <w:unhideWhenUsed/>
    <w:rsid w:val="00577F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77FC8"/>
    <w:rPr>
      <w:i/>
      <w:iCs/>
    </w:rPr>
  </w:style>
  <w:style w:type="paragraph" w:styleId="BalonMetni">
    <w:name w:val="Balloon Text"/>
    <w:basedOn w:val="Normal"/>
    <w:link w:val="BalonMetniChar"/>
    <w:uiPriority w:val="99"/>
    <w:semiHidden/>
    <w:unhideWhenUsed/>
    <w:rsid w:val="00EF07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77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77F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77FC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7FC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77FC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77FC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77FC8"/>
    <w:rPr>
      <w:color w:val="0000FF"/>
      <w:u w:val="single"/>
    </w:rPr>
  </w:style>
  <w:style w:type="character" w:styleId="Gl">
    <w:name w:val="Strong"/>
    <w:basedOn w:val="VarsaylanParagrafYazTipi"/>
    <w:uiPriority w:val="22"/>
    <w:qFormat/>
    <w:rsid w:val="00577FC8"/>
    <w:rPr>
      <w:b/>
      <w:bCs/>
    </w:rPr>
  </w:style>
  <w:style w:type="paragraph" w:styleId="NormalWeb">
    <w:name w:val="Normal (Web)"/>
    <w:basedOn w:val="Normal"/>
    <w:uiPriority w:val="99"/>
    <w:semiHidden/>
    <w:unhideWhenUsed/>
    <w:rsid w:val="00577F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77FC8"/>
    <w:rPr>
      <w:i/>
      <w:iCs/>
    </w:rPr>
  </w:style>
  <w:style w:type="paragraph" w:styleId="BalonMetni">
    <w:name w:val="Balloon Text"/>
    <w:basedOn w:val="Normal"/>
    <w:link w:val="BalonMetniChar"/>
    <w:uiPriority w:val="99"/>
    <w:semiHidden/>
    <w:unhideWhenUsed/>
    <w:rsid w:val="00EF07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2061">
      <w:bodyDiv w:val="1"/>
      <w:marLeft w:val="0"/>
      <w:marRight w:val="0"/>
      <w:marTop w:val="0"/>
      <w:marBottom w:val="0"/>
      <w:divBdr>
        <w:top w:val="none" w:sz="0" w:space="0" w:color="auto"/>
        <w:left w:val="none" w:sz="0" w:space="0" w:color="auto"/>
        <w:bottom w:val="none" w:sz="0" w:space="0" w:color="auto"/>
        <w:right w:val="none" w:sz="0" w:space="0" w:color="auto"/>
      </w:divBdr>
      <w:divsChild>
        <w:div w:id="1861385433">
          <w:marLeft w:val="0"/>
          <w:marRight w:val="0"/>
          <w:marTop w:val="0"/>
          <w:marBottom w:val="300"/>
          <w:divBdr>
            <w:top w:val="single" w:sz="6" w:space="19" w:color="E4E9F2"/>
            <w:left w:val="none" w:sz="0" w:space="26" w:color="auto"/>
            <w:bottom w:val="single" w:sz="6" w:space="19" w:color="E4E9F2"/>
            <w:right w:val="none" w:sz="0" w:space="26" w:color="auto"/>
          </w:divBdr>
          <w:divsChild>
            <w:div w:id="552548225">
              <w:marLeft w:val="0"/>
              <w:marRight w:val="0"/>
              <w:marTop w:val="0"/>
              <w:marBottom w:val="0"/>
              <w:divBdr>
                <w:top w:val="none" w:sz="0" w:space="0" w:color="auto"/>
                <w:left w:val="none" w:sz="0" w:space="0" w:color="auto"/>
                <w:bottom w:val="none" w:sz="0" w:space="0" w:color="auto"/>
                <w:right w:val="none" w:sz="0" w:space="0" w:color="auto"/>
              </w:divBdr>
              <w:divsChild>
                <w:div w:id="1641615429">
                  <w:marLeft w:val="0"/>
                  <w:marRight w:val="0"/>
                  <w:marTop w:val="0"/>
                  <w:marBottom w:val="0"/>
                  <w:divBdr>
                    <w:top w:val="none" w:sz="0" w:space="0" w:color="auto"/>
                    <w:left w:val="none" w:sz="0" w:space="0" w:color="auto"/>
                    <w:bottom w:val="none" w:sz="0" w:space="0" w:color="auto"/>
                    <w:right w:val="none" w:sz="0" w:space="0" w:color="auto"/>
                  </w:divBdr>
                  <w:divsChild>
                    <w:div w:id="590771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6874919">
          <w:marLeft w:val="0"/>
          <w:marRight w:val="0"/>
          <w:marTop w:val="0"/>
          <w:marBottom w:val="0"/>
          <w:divBdr>
            <w:top w:val="none" w:sz="0" w:space="0" w:color="auto"/>
            <w:left w:val="none" w:sz="0" w:space="0" w:color="auto"/>
            <w:bottom w:val="none" w:sz="0" w:space="0" w:color="auto"/>
            <w:right w:val="none" w:sz="0" w:space="0" w:color="auto"/>
          </w:divBdr>
          <w:divsChild>
            <w:div w:id="605189560">
              <w:marLeft w:val="0"/>
              <w:marRight w:val="0"/>
              <w:marTop w:val="0"/>
              <w:marBottom w:val="0"/>
              <w:divBdr>
                <w:top w:val="none" w:sz="0" w:space="0" w:color="auto"/>
                <w:left w:val="none" w:sz="0" w:space="0" w:color="auto"/>
                <w:bottom w:val="none" w:sz="0" w:space="0" w:color="auto"/>
                <w:right w:val="none" w:sz="0" w:space="0" w:color="auto"/>
              </w:divBdr>
              <w:divsChild>
                <w:div w:id="7730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ÖMER FARUK ÖZTÜRK</cp:lastModifiedBy>
  <cp:revision>3</cp:revision>
  <dcterms:created xsi:type="dcterms:W3CDTF">2025-08-13T08:45:00Z</dcterms:created>
  <dcterms:modified xsi:type="dcterms:W3CDTF">2025-08-13T09:00:00Z</dcterms:modified>
</cp:coreProperties>
</file>