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D4F" w:rsidRPr="008D4D4F" w:rsidRDefault="008D4D4F" w:rsidP="008D4D4F">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roofErr w:type="spellStart"/>
      <w:r w:rsidRPr="008D4D4F">
        <w:rPr>
          <w:rFonts w:ascii="Times New Roman" w:eastAsia="Times New Roman" w:hAnsi="Times New Roman" w:cs="Times New Roman"/>
          <w:b/>
          <w:bCs/>
          <w:sz w:val="36"/>
          <w:szCs w:val="36"/>
          <w:lang w:eastAsia="tr-TR"/>
        </w:rPr>
        <w:t>Volatil</w:t>
      </w:r>
      <w:proofErr w:type="spellEnd"/>
      <w:r w:rsidRPr="008D4D4F">
        <w:rPr>
          <w:rFonts w:ascii="Times New Roman" w:eastAsia="Times New Roman" w:hAnsi="Times New Roman" w:cs="Times New Roman"/>
          <w:b/>
          <w:bCs/>
          <w:sz w:val="36"/>
          <w:szCs w:val="36"/>
          <w:lang w:eastAsia="tr-TR"/>
        </w:rPr>
        <w:t xml:space="preserve"> Küresel Ortama Rağmen Dengeli Büyüme</w:t>
      </w:r>
    </w:p>
    <w:p w:rsidR="008D4D4F" w:rsidRPr="008D4D4F" w:rsidRDefault="008D4D4F" w:rsidP="008D4D4F">
      <w:pPr>
        <w:spacing w:before="100" w:beforeAutospacing="1" w:after="100" w:afterAutospacing="1" w:line="240" w:lineRule="auto"/>
        <w:rPr>
          <w:rFonts w:ascii="Times New Roman" w:eastAsia="Times New Roman" w:hAnsi="Times New Roman" w:cs="Times New Roman"/>
          <w:sz w:val="24"/>
          <w:szCs w:val="24"/>
          <w:lang w:eastAsia="tr-TR"/>
        </w:rPr>
      </w:pPr>
      <w:r w:rsidRPr="008D4D4F">
        <w:rPr>
          <w:rFonts w:ascii="Times New Roman" w:eastAsia="Times New Roman" w:hAnsi="Times New Roman" w:cs="Times New Roman"/>
          <w:sz w:val="24"/>
          <w:szCs w:val="24"/>
          <w:lang w:eastAsia="tr-TR"/>
        </w:rPr>
        <w:t xml:space="preserve">Koç Holding 2025 yılı 4.çeyreğinde 7,65 milyar TL net kar açıkladı. Çeyreklik </w:t>
      </w:r>
      <w:proofErr w:type="gramStart"/>
      <w:r w:rsidRPr="008D4D4F">
        <w:rPr>
          <w:rFonts w:ascii="Times New Roman" w:eastAsia="Times New Roman" w:hAnsi="Times New Roman" w:cs="Times New Roman"/>
          <w:sz w:val="24"/>
          <w:szCs w:val="24"/>
          <w:lang w:eastAsia="tr-TR"/>
        </w:rPr>
        <w:t>bazda</w:t>
      </w:r>
      <w:proofErr w:type="gramEnd"/>
      <w:r w:rsidRPr="008D4D4F">
        <w:rPr>
          <w:rFonts w:ascii="Times New Roman" w:eastAsia="Times New Roman" w:hAnsi="Times New Roman" w:cs="Times New Roman"/>
          <w:sz w:val="24"/>
          <w:szCs w:val="24"/>
          <w:lang w:eastAsia="tr-TR"/>
        </w:rPr>
        <w:t xml:space="preserve"> bakıldığında net karda değişim yatay seyrederken Holding’in kombine net karı %1.187 artışla 22,0 milyar TL’ye yükseldi. 2025 yılı, jeopolitik gelişmeler ve küresel ticaret politikalarındaki değişimlerin etkisiyle belirsizlik ve piyasa oynaklığının yüksek seyrettiği bir dönem oldu. Buna rağmen küresel ekonomik aktivite genel hatlarıyla dirençli bir görünüm sergiledi.</w:t>
      </w:r>
    </w:p>
    <w:p w:rsidR="008D4D4F" w:rsidRPr="008D4D4F" w:rsidRDefault="008D4D4F" w:rsidP="008D4D4F">
      <w:pPr>
        <w:spacing w:before="100" w:beforeAutospacing="1" w:after="100" w:afterAutospacing="1" w:line="240" w:lineRule="auto"/>
        <w:rPr>
          <w:rFonts w:ascii="Times New Roman" w:eastAsia="Times New Roman" w:hAnsi="Times New Roman" w:cs="Times New Roman"/>
          <w:sz w:val="24"/>
          <w:szCs w:val="24"/>
          <w:lang w:eastAsia="tr-TR"/>
        </w:rPr>
      </w:pPr>
      <w:r w:rsidRPr="008D4D4F">
        <w:rPr>
          <w:rFonts w:ascii="Times New Roman" w:eastAsia="Times New Roman" w:hAnsi="Times New Roman" w:cs="Times New Roman"/>
          <w:sz w:val="24"/>
          <w:szCs w:val="24"/>
          <w:lang w:eastAsia="tr-TR"/>
        </w:rPr>
        <w:t xml:space="preserve">Bu zorlu konjonktürde holdingin güçlü </w:t>
      </w:r>
      <w:proofErr w:type="spellStart"/>
      <w:r w:rsidRPr="008D4D4F">
        <w:rPr>
          <w:rFonts w:ascii="Times New Roman" w:eastAsia="Times New Roman" w:hAnsi="Times New Roman" w:cs="Times New Roman"/>
          <w:sz w:val="24"/>
          <w:szCs w:val="24"/>
          <w:lang w:eastAsia="tr-TR"/>
        </w:rPr>
        <w:t>operasyonel</w:t>
      </w:r>
      <w:proofErr w:type="spellEnd"/>
      <w:r w:rsidRPr="008D4D4F">
        <w:rPr>
          <w:rFonts w:ascii="Times New Roman" w:eastAsia="Times New Roman" w:hAnsi="Times New Roman" w:cs="Times New Roman"/>
          <w:sz w:val="24"/>
          <w:szCs w:val="24"/>
          <w:lang w:eastAsia="tr-TR"/>
        </w:rPr>
        <w:t xml:space="preserve"> disiplini, </w:t>
      </w:r>
      <w:proofErr w:type="gramStart"/>
      <w:r w:rsidRPr="008D4D4F">
        <w:rPr>
          <w:rFonts w:ascii="Times New Roman" w:eastAsia="Times New Roman" w:hAnsi="Times New Roman" w:cs="Times New Roman"/>
          <w:sz w:val="24"/>
          <w:szCs w:val="24"/>
          <w:lang w:eastAsia="tr-TR"/>
        </w:rPr>
        <w:t>portföy</w:t>
      </w:r>
      <w:proofErr w:type="gramEnd"/>
      <w:r w:rsidRPr="008D4D4F">
        <w:rPr>
          <w:rFonts w:ascii="Times New Roman" w:eastAsia="Times New Roman" w:hAnsi="Times New Roman" w:cs="Times New Roman"/>
          <w:sz w:val="24"/>
          <w:szCs w:val="24"/>
          <w:lang w:eastAsia="tr-TR"/>
        </w:rPr>
        <w:t xml:space="preserve"> çeşitliliği ve dengeli yönetim yaklaşımı finansal performansı destekleyen ana unsurlar olarak öne çıktı.</w:t>
      </w:r>
    </w:p>
    <w:p w:rsidR="008D4D4F" w:rsidRPr="008D4D4F" w:rsidRDefault="008D4D4F" w:rsidP="008D4D4F">
      <w:pPr>
        <w:spacing w:before="100" w:beforeAutospacing="1" w:after="100" w:afterAutospacing="1" w:line="240" w:lineRule="auto"/>
        <w:rPr>
          <w:rFonts w:ascii="Times New Roman" w:eastAsia="Times New Roman" w:hAnsi="Times New Roman" w:cs="Times New Roman"/>
          <w:sz w:val="24"/>
          <w:szCs w:val="24"/>
          <w:lang w:eastAsia="tr-TR"/>
        </w:rPr>
      </w:pPr>
      <w:r w:rsidRPr="008D4D4F">
        <w:rPr>
          <w:rFonts w:ascii="Times New Roman" w:eastAsia="Times New Roman" w:hAnsi="Times New Roman" w:cs="Times New Roman"/>
          <w:sz w:val="24"/>
          <w:szCs w:val="24"/>
          <w:lang w:eastAsia="tr-TR"/>
        </w:rPr>
        <w:t xml:space="preserve">Değerleme çalışmamızda tarihsel ortalamaya yakın %43 </w:t>
      </w:r>
      <w:proofErr w:type="spellStart"/>
      <w:r w:rsidRPr="008D4D4F">
        <w:rPr>
          <w:rFonts w:ascii="Times New Roman" w:eastAsia="Times New Roman" w:hAnsi="Times New Roman" w:cs="Times New Roman"/>
          <w:sz w:val="24"/>
          <w:szCs w:val="24"/>
          <w:lang w:eastAsia="tr-TR"/>
        </w:rPr>
        <w:t>iskonto</w:t>
      </w:r>
      <w:proofErr w:type="spellEnd"/>
      <w:r w:rsidRPr="008D4D4F">
        <w:rPr>
          <w:rFonts w:ascii="Times New Roman" w:eastAsia="Times New Roman" w:hAnsi="Times New Roman" w:cs="Times New Roman"/>
          <w:sz w:val="24"/>
          <w:szCs w:val="24"/>
          <w:lang w:eastAsia="tr-TR"/>
        </w:rPr>
        <w:t xml:space="preserve"> varsayımı esas alınmış, iştirak değerlerindeki artış ve ileri dönem kârlılık </w:t>
      </w:r>
      <w:proofErr w:type="gramStart"/>
      <w:r w:rsidRPr="008D4D4F">
        <w:rPr>
          <w:rFonts w:ascii="Times New Roman" w:eastAsia="Times New Roman" w:hAnsi="Times New Roman" w:cs="Times New Roman"/>
          <w:sz w:val="24"/>
          <w:szCs w:val="24"/>
          <w:lang w:eastAsia="tr-TR"/>
        </w:rPr>
        <w:t>projeksiyonları</w:t>
      </w:r>
      <w:proofErr w:type="gramEnd"/>
      <w:r w:rsidRPr="008D4D4F">
        <w:rPr>
          <w:rFonts w:ascii="Times New Roman" w:eastAsia="Times New Roman" w:hAnsi="Times New Roman" w:cs="Times New Roman"/>
          <w:sz w:val="24"/>
          <w:szCs w:val="24"/>
          <w:lang w:eastAsia="tr-TR"/>
        </w:rPr>
        <w:t xml:space="preserve"> dikkate alınarak </w:t>
      </w:r>
      <w:r w:rsidRPr="008D4D4F">
        <w:rPr>
          <w:rFonts w:ascii="Times New Roman" w:eastAsia="Times New Roman" w:hAnsi="Times New Roman" w:cs="Times New Roman"/>
          <w:b/>
          <w:bCs/>
          <w:sz w:val="24"/>
          <w:szCs w:val="24"/>
          <w:lang w:eastAsia="tr-TR"/>
        </w:rPr>
        <w:t>12 aylık hedef fiyat 299,05 TL olarak hesaplanmıştır. </w:t>
      </w:r>
      <w:r w:rsidRPr="008D4D4F">
        <w:rPr>
          <w:rFonts w:ascii="Times New Roman" w:eastAsia="Times New Roman" w:hAnsi="Times New Roman" w:cs="Times New Roman"/>
          <w:sz w:val="24"/>
          <w:szCs w:val="24"/>
          <w:lang w:eastAsia="tr-TR"/>
        </w:rPr>
        <w:t>Detaylara bilanço analizi sonrası değerleme kısmından ulaşabilirsiniz.</w:t>
      </w:r>
    </w:p>
    <w:p w:rsidR="00DB4DD0" w:rsidRDefault="008D4D4F" w:rsidP="008D4D4F">
      <w:r>
        <w:rPr>
          <w:noProof/>
          <w:lang w:eastAsia="tr-TR"/>
        </w:rPr>
        <w:drawing>
          <wp:inline distT="0" distB="0" distL="0" distR="0" wp14:anchorId="161A06FC" wp14:editId="0473CE28">
            <wp:extent cx="3863340" cy="4693920"/>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863340" cy="4693920"/>
                    </a:xfrm>
                    <a:prstGeom prst="rect">
                      <a:avLst/>
                    </a:prstGeom>
                  </pic:spPr>
                </pic:pic>
              </a:graphicData>
            </a:graphic>
          </wp:inline>
        </w:drawing>
      </w:r>
    </w:p>
    <w:p w:rsidR="008D4D4F" w:rsidRDefault="008D4D4F" w:rsidP="008D4D4F">
      <w:pPr>
        <w:pStyle w:val="NormalWeb"/>
      </w:pPr>
      <w:r>
        <w:t>Satış gelirleri geçtiğimiz yılın aynı dönemine göre %668 artış kaydederek 802.669 milyon TL olarak gerçekleşti. Bir önceki çeyreğe göre ise satış gelirlerinde %17 oranında artış izlendi.</w:t>
      </w:r>
    </w:p>
    <w:p w:rsidR="008D4D4F" w:rsidRDefault="008D4D4F" w:rsidP="008D4D4F">
      <w:pPr>
        <w:pStyle w:val="NormalWeb"/>
      </w:pPr>
      <w:r>
        <w:t xml:space="preserve">Net kar </w:t>
      </w:r>
      <w:proofErr w:type="gramStart"/>
      <w:r>
        <w:t>marjı</w:t>
      </w:r>
      <w:proofErr w:type="gramEnd"/>
      <w:r>
        <w:t xml:space="preserve"> 4.çeyrekte 0,95% olurken, önceki çeyrekte 1,11% ve geçen yılın aynı çeyreğinde -0,93% olmuştu. Brüt kar </w:t>
      </w:r>
      <w:proofErr w:type="gramStart"/>
      <w:r>
        <w:t>marjı</w:t>
      </w:r>
      <w:proofErr w:type="gramEnd"/>
      <w:r>
        <w:t xml:space="preserve"> 4.çeyrekte %17,29 olurken, önceki çeyrekte 16,49% ve geçen yılın aynı döneminde 13,20% olarak gerçekleşmişti.</w:t>
      </w:r>
    </w:p>
    <w:p w:rsidR="008D4D4F" w:rsidRDefault="008D4D4F" w:rsidP="008D4D4F">
      <w:pPr>
        <w:pStyle w:val="NormalWeb"/>
      </w:pPr>
      <w:r>
        <w:lastRenderedPageBreak/>
        <w:t xml:space="preserve">FAVÖK 2025 yılı 4. çeyreğinde geçen yılın aynı çeyreğine göre %0,5 artışla 59.173 milyon TL olarak gerçekleşti. Bir önceki çeyreğe göre ise </w:t>
      </w:r>
      <w:proofErr w:type="spellStart"/>
      <w:r>
        <w:t>FAVÖK’te</w:t>
      </w:r>
      <w:proofErr w:type="spellEnd"/>
      <w:r>
        <w:t xml:space="preserve"> %5.639’luk artış dikkat çekti. FAVÖK </w:t>
      </w:r>
      <w:proofErr w:type="gramStart"/>
      <w:r>
        <w:t>marjı</w:t>
      </w:r>
      <w:proofErr w:type="gramEnd"/>
      <w:r>
        <w:t xml:space="preserve"> ise 4. çeyrekte geçen yılın aynı çeyreğine göre 2,11 puan artışla %7,37 oldu. Bir önceki çeyrekte FAVÖK </w:t>
      </w:r>
      <w:proofErr w:type="gramStart"/>
      <w:r>
        <w:t>marjı</w:t>
      </w:r>
      <w:proofErr w:type="gramEnd"/>
      <w:r>
        <w:t xml:space="preserve"> %8,55 seviyesindeydi. Çeyreklik </w:t>
      </w:r>
      <w:proofErr w:type="gramStart"/>
      <w:r>
        <w:t>bazda</w:t>
      </w:r>
      <w:proofErr w:type="gramEnd"/>
      <w:r>
        <w:t xml:space="preserve"> FAVÖK marjında 1,18 puan azalış gerçekleşti.</w:t>
      </w:r>
    </w:p>
    <w:p w:rsidR="008D4D4F" w:rsidRDefault="008D4D4F" w:rsidP="008D4D4F">
      <w:pPr>
        <w:pStyle w:val="Balk2"/>
      </w:pPr>
      <w:proofErr w:type="spellStart"/>
      <w:r>
        <w:rPr>
          <w:rStyle w:val="Gl"/>
          <w:b/>
          <w:bCs/>
        </w:rPr>
        <w:t>Segment</w:t>
      </w:r>
      <w:proofErr w:type="spellEnd"/>
      <w:r>
        <w:rPr>
          <w:rStyle w:val="Gl"/>
          <w:b/>
          <w:bCs/>
        </w:rPr>
        <w:t xml:space="preserve"> Performansları</w:t>
      </w:r>
    </w:p>
    <w:p w:rsidR="008D4D4F" w:rsidRDefault="008D4D4F" w:rsidP="008D4D4F">
      <w:r>
        <w:rPr>
          <w:noProof/>
          <w:lang w:eastAsia="tr-TR"/>
        </w:rPr>
        <w:drawing>
          <wp:inline distT="0" distB="0" distL="0" distR="0" wp14:anchorId="01F0A8C9" wp14:editId="0887EA29">
            <wp:extent cx="3893820" cy="38481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93820" cy="3848100"/>
                    </a:xfrm>
                    <a:prstGeom prst="rect">
                      <a:avLst/>
                    </a:prstGeom>
                  </pic:spPr>
                </pic:pic>
              </a:graphicData>
            </a:graphic>
          </wp:inline>
        </w:drawing>
      </w:r>
    </w:p>
    <w:p w:rsidR="008D4D4F" w:rsidRDefault="008D4D4F" w:rsidP="008D4D4F">
      <w:pPr>
        <w:pStyle w:val="Balk2"/>
      </w:pPr>
      <w:r>
        <w:rPr>
          <w:rStyle w:val="Gl"/>
          <w:b/>
          <w:bCs/>
        </w:rPr>
        <w:t xml:space="preserve">Enerji </w:t>
      </w:r>
      <w:proofErr w:type="spellStart"/>
      <w:r>
        <w:rPr>
          <w:rStyle w:val="Gl"/>
          <w:b/>
          <w:bCs/>
        </w:rPr>
        <w:t>Segmenti</w:t>
      </w:r>
      <w:proofErr w:type="spellEnd"/>
    </w:p>
    <w:p w:rsidR="008D4D4F" w:rsidRDefault="008D4D4F" w:rsidP="008D4D4F">
      <w:pPr>
        <w:pStyle w:val="NormalWeb"/>
      </w:pPr>
      <w:proofErr w:type="spellStart"/>
      <w:r>
        <w:t>KCHOL’ün</w:t>
      </w:r>
      <w:proofErr w:type="spellEnd"/>
      <w:r>
        <w:t xml:space="preserve"> enerji </w:t>
      </w:r>
      <w:proofErr w:type="spellStart"/>
      <w:r>
        <w:t>segmentinde</w:t>
      </w:r>
      <w:proofErr w:type="spellEnd"/>
      <w:r>
        <w:t xml:space="preserve"> yüksek seyreden ürün </w:t>
      </w:r>
      <w:proofErr w:type="gramStart"/>
      <w:r>
        <w:t>marjları</w:t>
      </w:r>
      <w:proofErr w:type="gramEnd"/>
      <w:r>
        <w:t xml:space="preserve">, yüksek kapasite kullanım oranı ve beyaz ürün verimliliğinde görülen iyileşme </w:t>
      </w:r>
      <w:proofErr w:type="spellStart"/>
      <w:r>
        <w:t>operasyonel</w:t>
      </w:r>
      <w:proofErr w:type="spellEnd"/>
      <w:r>
        <w:t xml:space="preserve"> karlılığı destekledi. Ayrıca Stratejik Dönüşüm Planı’nda yapılan dengeli </w:t>
      </w:r>
      <w:proofErr w:type="gramStart"/>
      <w:r>
        <w:t>revizyon</w:t>
      </w:r>
      <w:proofErr w:type="gramEnd"/>
      <w:r>
        <w:t xml:space="preserve"> da </w:t>
      </w:r>
      <w:proofErr w:type="spellStart"/>
      <w:r>
        <w:t>segmentin</w:t>
      </w:r>
      <w:proofErr w:type="spellEnd"/>
      <w:r>
        <w:t xml:space="preserve"> finansal performansına katkı sağladı. Buna karşın petrol diferansiyellerindeki daralma ve artan enerji maliyetleri karlılık üzerinde baskı unsuru oluşturdu. Bu gelişmeler sonucunda </w:t>
      </w:r>
      <w:proofErr w:type="spellStart"/>
      <w:r>
        <w:t>segmentin</w:t>
      </w:r>
      <w:proofErr w:type="spellEnd"/>
      <w:r>
        <w:t xml:space="preserve"> </w:t>
      </w:r>
      <w:proofErr w:type="gramStart"/>
      <w:r>
        <w:t>konsolide</w:t>
      </w:r>
      <w:proofErr w:type="gramEnd"/>
      <w:r>
        <w:t xml:space="preserve"> net kara katkısı 13.441 </w:t>
      </w:r>
      <w:proofErr w:type="spellStart"/>
      <w:r>
        <w:t>mn</w:t>
      </w:r>
      <w:proofErr w:type="spellEnd"/>
      <w:r>
        <w:t xml:space="preserve"> TL seviyesine ulaşarak yıllık bazda %46 artış gösterdi.</w:t>
      </w:r>
    </w:p>
    <w:p w:rsidR="008D4D4F" w:rsidRDefault="008D4D4F" w:rsidP="008D4D4F">
      <w:pPr>
        <w:pStyle w:val="Balk2"/>
      </w:pPr>
      <w:r>
        <w:rPr>
          <w:rStyle w:val="Gl"/>
          <w:b/>
          <w:bCs/>
        </w:rPr>
        <w:t xml:space="preserve">Otomotiv </w:t>
      </w:r>
      <w:proofErr w:type="spellStart"/>
      <w:r>
        <w:rPr>
          <w:rStyle w:val="Gl"/>
          <w:b/>
          <w:bCs/>
        </w:rPr>
        <w:t>Segmenti</w:t>
      </w:r>
      <w:proofErr w:type="spellEnd"/>
    </w:p>
    <w:p w:rsidR="008D4D4F" w:rsidRDefault="008D4D4F" w:rsidP="008D4D4F">
      <w:pPr>
        <w:pStyle w:val="NormalWeb"/>
      </w:pPr>
      <w:r>
        <w:t xml:space="preserve">Otomotiv </w:t>
      </w:r>
      <w:proofErr w:type="spellStart"/>
      <w:r>
        <w:t>segmentinde</w:t>
      </w:r>
      <w:proofErr w:type="spellEnd"/>
      <w:r>
        <w:t xml:space="preserve"> rekor seviyede iç pazar büyümesi (üst üste üç yıl 1 milyon adedin üzerinde satış), güçlü ihracat performansı ve ortaklıklar aracılığıyla sağlanan sağlam ihracat sözleşmeleri </w:t>
      </w:r>
      <w:proofErr w:type="spellStart"/>
      <w:r>
        <w:t>operasyonel</w:t>
      </w:r>
      <w:proofErr w:type="spellEnd"/>
      <w:r>
        <w:t xml:space="preserve"> görünümü destekledi. Güçlü pazar konumu ve ölçek avantajları da </w:t>
      </w:r>
      <w:proofErr w:type="spellStart"/>
      <w:r>
        <w:t>segmentin</w:t>
      </w:r>
      <w:proofErr w:type="spellEnd"/>
      <w:r>
        <w:t xml:space="preserve"> rekabet gücünü korumasına katkı sağladı. Bununla birlikte, pazarı genişletirken </w:t>
      </w:r>
      <w:proofErr w:type="gramStart"/>
      <w:r>
        <w:t>marjları</w:t>
      </w:r>
      <w:proofErr w:type="gramEnd"/>
      <w:r>
        <w:t xml:space="preserve"> baskılayan elektrikli araç talebindeki artış, yoğun fiyat rekabeti ve yüksek enflasyon ortamına bağlı maliyet artışları karlılık üzerinde baskı oluşturdu. Bu çerçevede otomotiv </w:t>
      </w:r>
      <w:proofErr w:type="spellStart"/>
      <w:r>
        <w:lastRenderedPageBreak/>
        <w:t>segmentinin</w:t>
      </w:r>
      <w:proofErr w:type="spellEnd"/>
      <w:r>
        <w:t xml:space="preserve"> </w:t>
      </w:r>
      <w:proofErr w:type="gramStart"/>
      <w:r>
        <w:t>konsolide</w:t>
      </w:r>
      <w:proofErr w:type="gramEnd"/>
      <w:r>
        <w:t xml:space="preserve"> net kara katkısı 17.747 </w:t>
      </w:r>
      <w:proofErr w:type="spellStart"/>
      <w:r>
        <w:t>mn</w:t>
      </w:r>
      <w:proofErr w:type="spellEnd"/>
      <w:r>
        <w:t xml:space="preserve"> TL seviyesinde gerçekleşirken yıllık bazda %5 gerileme kaydedildi.</w:t>
      </w:r>
    </w:p>
    <w:p w:rsidR="008D4D4F" w:rsidRDefault="008D4D4F" w:rsidP="008D4D4F">
      <w:pPr>
        <w:pStyle w:val="Balk2"/>
      </w:pPr>
      <w:r>
        <w:rPr>
          <w:rStyle w:val="Gl"/>
          <w:b/>
          <w:bCs/>
        </w:rPr>
        <w:t xml:space="preserve">Dayanıklı Tüketim </w:t>
      </w:r>
      <w:proofErr w:type="spellStart"/>
      <w:r>
        <w:rPr>
          <w:rStyle w:val="Gl"/>
          <w:b/>
          <w:bCs/>
        </w:rPr>
        <w:t>Segmenti</w:t>
      </w:r>
      <w:proofErr w:type="spellEnd"/>
    </w:p>
    <w:p w:rsidR="008D4D4F" w:rsidRDefault="008D4D4F" w:rsidP="008D4D4F">
      <w:pPr>
        <w:pStyle w:val="NormalWeb"/>
      </w:pPr>
      <w:r>
        <w:t xml:space="preserve">Dayanıklı tüketim </w:t>
      </w:r>
      <w:proofErr w:type="spellStart"/>
      <w:r>
        <w:t>segmentinde</w:t>
      </w:r>
      <w:proofErr w:type="spellEnd"/>
      <w:r>
        <w:t xml:space="preserve"> avantajlı EUR/USD paritesi, ham madde maliyetlerinde görülen gevşeme ve </w:t>
      </w:r>
      <w:proofErr w:type="spellStart"/>
      <w:r>
        <w:t>Whirlpool</w:t>
      </w:r>
      <w:proofErr w:type="spellEnd"/>
      <w:r>
        <w:t xml:space="preserve"> entegrasyonunun sağladığı </w:t>
      </w:r>
      <w:proofErr w:type="gramStart"/>
      <w:r>
        <w:t>sinerji</w:t>
      </w:r>
      <w:proofErr w:type="gramEnd"/>
      <w:r>
        <w:t xml:space="preserve"> ile maliyet tasarrufları </w:t>
      </w:r>
      <w:proofErr w:type="spellStart"/>
      <w:r>
        <w:t>operasyonel</w:t>
      </w:r>
      <w:proofErr w:type="spellEnd"/>
      <w:r>
        <w:t xml:space="preserve"> görünümü destekleyen unsurlar olarak öne çıktı. İndirim ve kampanyalarla desteklenen ılımlı iç talep de satış hacmini sınırlı ölçüde destekledi. Buna karşın yurtdışı pazarlarda zayıf talep görünümü, Türkiye pazarında dezavantajlı fiyat ve ürün karması ile Avrupa’da artan rekabet </w:t>
      </w:r>
      <w:proofErr w:type="spellStart"/>
      <w:r>
        <w:t>segment</w:t>
      </w:r>
      <w:proofErr w:type="spellEnd"/>
      <w:r>
        <w:t xml:space="preserve"> karlılığı üzerinde belirgin baskı yarattı. Bu gelişmeler sonucunda dayanıklı tüketim </w:t>
      </w:r>
      <w:proofErr w:type="spellStart"/>
      <w:r>
        <w:t>segmenti</w:t>
      </w:r>
      <w:proofErr w:type="spellEnd"/>
      <w:r>
        <w:t xml:space="preserve"> </w:t>
      </w:r>
      <w:proofErr w:type="gramStart"/>
      <w:r>
        <w:t>konsolide</w:t>
      </w:r>
      <w:proofErr w:type="gramEnd"/>
      <w:r>
        <w:t xml:space="preserve"> net kara -4.443 </w:t>
      </w:r>
      <w:proofErr w:type="spellStart"/>
      <w:r>
        <w:t>mn</w:t>
      </w:r>
      <w:proofErr w:type="spellEnd"/>
      <w:r>
        <w:t xml:space="preserve"> TL negatif katkı yaparken, yıllık bazda anlamlı bir bozulmaya işaret etti.</w:t>
      </w:r>
    </w:p>
    <w:p w:rsidR="008D4D4F" w:rsidRDefault="008D4D4F" w:rsidP="008D4D4F">
      <w:pPr>
        <w:pStyle w:val="Balk2"/>
      </w:pPr>
      <w:r>
        <w:rPr>
          <w:rStyle w:val="Gl"/>
          <w:b/>
          <w:bCs/>
        </w:rPr>
        <w:t xml:space="preserve">Finans </w:t>
      </w:r>
      <w:proofErr w:type="spellStart"/>
      <w:r>
        <w:rPr>
          <w:rStyle w:val="Gl"/>
          <w:b/>
          <w:bCs/>
        </w:rPr>
        <w:t>Segmenti</w:t>
      </w:r>
      <w:proofErr w:type="spellEnd"/>
    </w:p>
    <w:p w:rsidR="008D4D4F" w:rsidRDefault="008D4D4F" w:rsidP="008D4D4F">
      <w:pPr>
        <w:pStyle w:val="NormalWeb"/>
      </w:pPr>
      <w:r>
        <w:t xml:space="preserve">Finans </w:t>
      </w:r>
      <w:proofErr w:type="spellStart"/>
      <w:r>
        <w:t>segmentinde</w:t>
      </w:r>
      <w:proofErr w:type="spellEnd"/>
      <w:r>
        <w:t xml:space="preserve"> net faiz </w:t>
      </w:r>
      <w:proofErr w:type="gramStart"/>
      <w:r>
        <w:t>marjı</w:t>
      </w:r>
      <w:proofErr w:type="gramEnd"/>
      <w:r>
        <w:t xml:space="preserve"> ve komisyon gelirlerindeki artışın desteğiyle temel bankacılık karlılığı güçlenmeye devam etti. Kredilerde seçici olma stratejisinin sürdürülmesi aktif kalitesini desteklerken, güçlü müşteri tabanı sayesinde fonlama maliyetlerinde </w:t>
      </w:r>
      <w:proofErr w:type="gramStart"/>
      <w:r>
        <w:t>optimizasyon</w:t>
      </w:r>
      <w:proofErr w:type="gramEnd"/>
      <w:r>
        <w:t xml:space="preserve"> sağlandı. Artan tahsili gecikmiş alacaklara rağmen varlık kalitesinin genel olarak sağlam kalması ve güçlü sermaye tamponlarının korunması </w:t>
      </w:r>
      <w:proofErr w:type="spellStart"/>
      <w:r>
        <w:t>segmentin</w:t>
      </w:r>
      <w:proofErr w:type="spellEnd"/>
      <w:r>
        <w:t xml:space="preserve"> bilanço dayanıklılığını destekleyen unsurlar oldu. Bununla birlikte dönemsel kalemler ve finansal sonuçlardaki </w:t>
      </w:r>
      <w:proofErr w:type="spellStart"/>
      <w:r>
        <w:t>normalizasyon</w:t>
      </w:r>
      <w:proofErr w:type="spellEnd"/>
      <w:r>
        <w:t xml:space="preserve"> etkisi net kara katkının zayıf kalmasına neden oldu. Bu çerçevede finans </w:t>
      </w:r>
      <w:proofErr w:type="spellStart"/>
      <w:r>
        <w:t>segmentinin</w:t>
      </w:r>
      <w:proofErr w:type="spellEnd"/>
      <w:r>
        <w:t xml:space="preserve"> </w:t>
      </w:r>
      <w:proofErr w:type="gramStart"/>
      <w:r>
        <w:t>konsolide</w:t>
      </w:r>
      <w:proofErr w:type="gramEnd"/>
      <w:r>
        <w:t xml:space="preserve"> net kara katkısı -589 </w:t>
      </w:r>
      <w:proofErr w:type="spellStart"/>
      <w:r>
        <w:t>mn</w:t>
      </w:r>
      <w:proofErr w:type="spellEnd"/>
      <w:r>
        <w:t xml:space="preserve"> TL seviyesinde gerçekleşirken, yıllık bazda %97 oranında gerileme kaydedildi.</w:t>
      </w:r>
    </w:p>
    <w:p w:rsidR="008D4D4F" w:rsidRDefault="008D4D4F" w:rsidP="008D4D4F">
      <w:pPr>
        <w:pStyle w:val="Balk2"/>
      </w:pPr>
      <w:r>
        <w:rPr>
          <w:rStyle w:val="Gl"/>
          <w:b/>
          <w:bCs/>
        </w:rPr>
        <w:t>2026 Beklentileri</w:t>
      </w:r>
    </w:p>
    <w:p w:rsidR="008D4D4F" w:rsidRDefault="008D4D4F" w:rsidP="008D4D4F">
      <w:r>
        <w:rPr>
          <w:noProof/>
          <w:lang w:eastAsia="tr-TR"/>
        </w:rPr>
        <w:lastRenderedPageBreak/>
        <w:drawing>
          <wp:inline distT="0" distB="0" distL="0" distR="0" wp14:anchorId="0D40AC61" wp14:editId="7798DA18">
            <wp:extent cx="4381500" cy="5040437"/>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81500" cy="5040437"/>
                    </a:xfrm>
                    <a:prstGeom prst="rect">
                      <a:avLst/>
                    </a:prstGeom>
                  </pic:spPr>
                </pic:pic>
              </a:graphicData>
            </a:graphic>
          </wp:inline>
        </w:drawing>
      </w:r>
      <w:bookmarkStart w:id="0" w:name="_GoBack"/>
      <w:bookmarkEnd w:id="0"/>
    </w:p>
    <w:p w:rsidR="008D4D4F" w:rsidRDefault="008D4D4F" w:rsidP="008D4D4F">
      <w:pPr>
        <w:pStyle w:val="NormalWeb"/>
      </w:pPr>
      <w:r>
        <w:t xml:space="preserve">2026 yılında birçok sektörde talep tarafında normalleşme, bazı alanlarda ise </w:t>
      </w:r>
      <w:proofErr w:type="gramStart"/>
      <w:r>
        <w:t>marj</w:t>
      </w:r>
      <w:proofErr w:type="gramEnd"/>
      <w:r>
        <w:t xml:space="preserve"> baskısı ve daha temkinli yatırım eğilimi öne çıkıyor.</w:t>
      </w:r>
    </w:p>
    <w:p w:rsidR="008D4D4F" w:rsidRDefault="008D4D4F" w:rsidP="008D4D4F">
      <w:pPr>
        <w:pStyle w:val="NormalWeb"/>
      </w:pPr>
      <w:r>
        <w:t xml:space="preserve">Enerji tarafında </w:t>
      </w:r>
      <w:proofErr w:type="spellStart"/>
      <w:r>
        <w:t>Tüpraş’ta</w:t>
      </w:r>
      <w:proofErr w:type="spellEnd"/>
      <w:r>
        <w:t xml:space="preserve"> rafineri </w:t>
      </w:r>
      <w:proofErr w:type="gramStart"/>
      <w:r>
        <w:t>marjının</w:t>
      </w:r>
      <w:proofErr w:type="gramEnd"/>
      <w:r>
        <w:t xml:space="preserve"> 2026 yılında 6–7 dolar/varil bandına gerilemesi beklenirken, üretim ve satış hacimlerinde sınırlı artış öngörülüyor. </w:t>
      </w:r>
      <w:proofErr w:type="spellStart"/>
      <w:r>
        <w:t>Aygaz</w:t>
      </w:r>
      <w:proofErr w:type="spellEnd"/>
      <w:r>
        <w:t xml:space="preserve"> tarafında ise satış hacimlerinde ve pazar payında hafif gerileme beklentisi dikkat çekiyor.</w:t>
      </w:r>
    </w:p>
    <w:p w:rsidR="008D4D4F" w:rsidRDefault="008D4D4F" w:rsidP="008D4D4F">
      <w:pPr>
        <w:pStyle w:val="NormalWeb"/>
      </w:pPr>
      <w:r>
        <w:t>Otomotiv tarafında sektör satışlarında 2026 yılında sınırlı bir normalleşme öngörülüyor. Tofaş’ta üretim ve iç satışlarda artış beklenirken, Ford Otosan’da ihracat ve toplam satış hacimlerinde daha dengeli bir seyir ve yatırım harcamalarında düşüş öngörülüyor. Traktör tarafında ise Türk Traktör için sektör satışları ve iç pazarda daralma beklentisi öne çıkarken, ihracat tarafının daha yatay kalması bekleniyor.</w:t>
      </w:r>
    </w:p>
    <w:p w:rsidR="008D4D4F" w:rsidRDefault="008D4D4F" w:rsidP="008D4D4F">
      <w:pPr>
        <w:pStyle w:val="NormalWeb"/>
      </w:pPr>
      <w:r>
        <w:t xml:space="preserve">Dayanıklı tüketim tarafında Arçelik’te Türkiye gelirlerinin yatay seyretmesi, uluslararası operasyonların büyümeye katkı sağlaması ve FAVÖK </w:t>
      </w:r>
      <w:proofErr w:type="gramStart"/>
      <w:r>
        <w:t>marjında</w:t>
      </w:r>
      <w:proofErr w:type="gramEnd"/>
      <w:r>
        <w:t xml:space="preserve"> sınırlı iyileşme öngörülüyor. Bankacılık tarafında ise Yapı Kredi’de kredi büyümesinin daha düşük seyretmesi, buna karşın komisyon gelirlerinin güçlü kalması ve risk maliyetinin görece yüksek seviyelerde devam etmesi bekleniyor.</w:t>
      </w:r>
    </w:p>
    <w:p w:rsidR="008D4D4F" w:rsidRDefault="008D4D4F" w:rsidP="008D4D4F">
      <w:pPr>
        <w:pStyle w:val="Balk2"/>
      </w:pPr>
      <w:r>
        <w:rPr>
          <w:rStyle w:val="Gl"/>
          <w:b/>
          <w:bCs/>
        </w:rPr>
        <w:t>KCHOL DEĞERLEME</w:t>
      </w:r>
    </w:p>
    <w:p w:rsidR="008D4D4F" w:rsidRDefault="008D4D4F" w:rsidP="008D4D4F">
      <w:pPr>
        <w:pStyle w:val="NormalWeb"/>
      </w:pPr>
      <w:r>
        <w:lastRenderedPageBreak/>
        <w:t xml:space="preserve">Koç Holding için değerleme çalışmamız, Net Aktif Değer (SOTP) yaklaşımı ile ileriye dönük çarpan analizinin birlikte kullanıldığı </w:t>
      </w:r>
      <w:proofErr w:type="spellStart"/>
      <w:r>
        <w:t>hibrit</w:t>
      </w:r>
      <w:proofErr w:type="spellEnd"/>
      <w:r>
        <w:t xml:space="preserve"> bir modele dayanmaktadır.</w:t>
      </w:r>
    </w:p>
    <w:p w:rsidR="008D4D4F" w:rsidRDefault="008D4D4F" w:rsidP="008D4D4F">
      <w:pPr>
        <w:pStyle w:val="NormalWeb"/>
      </w:pPr>
      <w:r>
        <w:t xml:space="preserve">Mevcut piyasa fiyatlamasında holding </w:t>
      </w:r>
      <w:proofErr w:type="spellStart"/>
      <w:r>
        <w:t>iskontosunun</w:t>
      </w:r>
      <w:proofErr w:type="spellEnd"/>
      <w:r>
        <w:t xml:space="preserve"> son dönemde %48–52 bandında seyrettiği görülmektedir. Çalışmamızda tarihsel ortalamaya yakın %43 </w:t>
      </w:r>
      <w:proofErr w:type="spellStart"/>
      <w:r>
        <w:t>iskonto</w:t>
      </w:r>
      <w:proofErr w:type="spellEnd"/>
      <w:r>
        <w:t xml:space="preserve"> varsayımı esas alınmış, iştirak değerlerindeki artış ve ileri dönem kârlılık </w:t>
      </w:r>
      <w:proofErr w:type="gramStart"/>
      <w:r>
        <w:t>projeksiyonları</w:t>
      </w:r>
      <w:proofErr w:type="gramEnd"/>
      <w:r>
        <w:t xml:space="preserve"> dikkate alınarak </w:t>
      </w:r>
      <w:r>
        <w:rPr>
          <w:rStyle w:val="Gl"/>
        </w:rPr>
        <w:t>12 aylık hedef fiyat 299,05 TL olarak hesaplanmıştır.</w:t>
      </w:r>
    </w:p>
    <w:p w:rsidR="008D4D4F" w:rsidRDefault="008D4D4F" w:rsidP="008D4D4F">
      <w:pPr>
        <w:pStyle w:val="NormalWeb"/>
      </w:pPr>
      <w:r>
        <w:t xml:space="preserve">Model, holding </w:t>
      </w:r>
      <w:proofErr w:type="spellStart"/>
      <w:r>
        <w:t>iskontosunda</w:t>
      </w:r>
      <w:proofErr w:type="spellEnd"/>
      <w:r>
        <w:t xml:space="preserve"> sınırlı normalleşme ve iştirak kârlılığında sürdürülebilir görünüm varsayımına dayanmaktadır.</w:t>
      </w:r>
    </w:p>
    <w:p w:rsidR="008D4D4F" w:rsidRDefault="008D4D4F" w:rsidP="008D4D4F">
      <w:pPr>
        <w:pStyle w:val="Balk2"/>
      </w:pPr>
      <w:r>
        <w:rPr>
          <w:rStyle w:val="Gl"/>
          <w:b/>
          <w:bCs/>
        </w:rPr>
        <w:t>DEĞERLEME DETAYLARI</w:t>
      </w:r>
    </w:p>
    <w:p w:rsidR="008D4D4F" w:rsidRDefault="008D4D4F" w:rsidP="008D4D4F">
      <w:pPr>
        <w:pStyle w:val="NormalWeb"/>
      </w:pPr>
      <w:r>
        <w:t xml:space="preserve">Koç Holding için değerleme çalışmamız iki ana </w:t>
      </w:r>
      <w:proofErr w:type="gramStart"/>
      <w:r>
        <w:t>metodolojiye</w:t>
      </w:r>
      <w:proofErr w:type="gramEnd"/>
      <w:r>
        <w:t xml:space="preserve"> dayanmaktadır:</w:t>
      </w:r>
    </w:p>
    <w:p w:rsidR="008D4D4F" w:rsidRDefault="008D4D4F" w:rsidP="008D4D4F">
      <w:pPr>
        <w:pStyle w:val="NormalWeb"/>
      </w:pPr>
      <w:r>
        <w:t>1) SOTP (</w:t>
      </w:r>
      <w:proofErr w:type="spellStart"/>
      <w:r>
        <w:t>Sum</w:t>
      </w:r>
      <w:proofErr w:type="spellEnd"/>
      <w:r>
        <w:t xml:space="preserve"> of </w:t>
      </w:r>
      <w:proofErr w:type="spellStart"/>
      <w:r>
        <w:t>the</w:t>
      </w:r>
      <w:proofErr w:type="spellEnd"/>
      <w:r>
        <w:t xml:space="preserve"> </w:t>
      </w:r>
      <w:proofErr w:type="spellStart"/>
      <w:r>
        <w:t>Parts</w:t>
      </w:r>
      <w:proofErr w:type="spellEnd"/>
      <w:r>
        <w:t>) – Net Aktif Değer (NAD) Analizi</w:t>
      </w:r>
    </w:p>
    <w:p w:rsidR="008D4D4F" w:rsidRDefault="008D4D4F" w:rsidP="008D4D4F">
      <w:pPr>
        <w:pStyle w:val="NormalWeb"/>
      </w:pPr>
      <w:r>
        <w:t xml:space="preserve">2) İleriye dönük çarpan analizi (F/K ve PD/DD </w:t>
      </w:r>
      <w:proofErr w:type="gramStart"/>
      <w:r>
        <w:t>bazlı</w:t>
      </w:r>
      <w:proofErr w:type="gramEnd"/>
      <w:r>
        <w:t>)</w:t>
      </w:r>
    </w:p>
    <w:p w:rsidR="008D4D4F" w:rsidRPr="008D4D4F" w:rsidRDefault="008D4D4F" w:rsidP="008D4D4F">
      <w:pPr>
        <w:pStyle w:val="NormalWeb"/>
        <w:rPr>
          <w:b/>
        </w:rPr>
      </w:pPr>
      <w:r w:rsidRPr="008D4D4F">
        <w:rPr>
          <w:b/>
        </w:rPr>
        <w:t>1- SOTP (Net Aktif Değer) Analizi</w:t>
      </w:r>
    </w:p>
    <w:p w:rsidR="008D4D4F" w:rsidRDefault="008D4D4F" w:rsidP="008D4D4F">
      <w:pPr>
        <w:pStyle w:val="NormalWeb"/>
      </w:pPr>
      <w:r>
        <w:t xml:space="preserve">Halka açık iştirakler güncel piyasa değerleri üzerinden, Halka kapalı iştirakler ise benzer şirket çarpanları ve </w:t>
      </w:r>
      <w:proofErr w:type="spellStart"/>
      <w:r>
        <w:t>sektörel</w:t>
      </w:r>
      <w:proofErr w:type="spellEnd"/>
      <w:r>
        <w:t xml:space="preserve"> karşılaştırmalar kullanılarak değerlenmiştir.</w:t>
      </w:r>
    </w:p>
    <w:p w:rsidR="008D4D4F" w:rsidRDefault="008D4D4F" w:rsidP="008D4D4F">
      <w:pPr>
        <w:numPr>
          <w:ilvl w:val="0"/>
          <w:numId w:val="1"/>
        </w:numPr>
        <w:spacing w:before="100" w:beforeAutospacing="1" w:after="100" w:afterAutospacing="1" w:line="240" w:lineRule="auto"/>
      </w:pPr>
      <w:r>
        <w:t>Toplam Holding Değeri: 1.027.178.793.957 TL</w:t>
      </w:r>
    </w:p>
    <w:p w:rsidR="008D4D4F" w:rsidRDefault="008D4D4F" w:rsidP="008D4D4F">
      <w:pPr>
        <w:numPr>
          <w:ilvl w:val="0"/>
          <w:numId w:val="1"/>
        </w:numPr>
        <w:spacing w:before="100" w:beforeAutospacing="1" w:after="100" w:afterAutospacing="1" w:line="240" w:lineRule="auto"/>
      </w:pPr>
      <w:r>
        <w:t>Hisse Sayısı: 2.535.898.050</w:t>
      </w:r>
    </w:p>
    <w:p w:rsidR="008D4D4F" w:rsidRDefault="008D4D4F" w:rsidP="008D4D4F">
      <w:pPr>
        <w:numPr>
          <w:ilvl w:val="0"/>
          <w:numId w:val="1"/>
        </w:numPr>
        <w:spacing w:before="100" w:beforeAutospacing="1" w:after="100" w:afterAutospacing="1" w:line="240" w:lineRule="auto"/>
      </w:pPr>
      <w:r>
        <w:t>Hisse Başına NAD (</w:t>
      </w:r>
      <w:proofErr w:type="spellStart"/>
      <w:r>
        <w:t>iskontosuz</w:t>
      </w:r>
      <w:proofErr w:type="spellEnd"/>
      <w:r>
        <w:t>): 406,07 TL</w:t>
      </w:r>
    </w:p>
    <w:p w:rsidR="008D4D4F" w:rsidRDefault="008D4D4F" w:rsidP="008D4D4F">
      <w:pPr>
        <w:pStyle w:val="NormalWeb"/>
      </w:pPr>
      <w:r>
        <w:t xml:space="preserve">Son 10 çeyrek incelendiğinde ortalama </w:t>
      </w:r>
      <w:proofErr w:type="spellStart"/>
      <w:r>
        <w:t>iskonto</w:t>
      </w:r>
      <w:proofErr w:type="spellEnd"/>
      <w:r>
        <w:t xml:space="preserve"> yaklaşık %42, medyan </w:t>
      </w:r>
      <w:proofErr w:type="spellStart"/>
      <w:r>
        <w:t>iskonto</w:t>
      </w:r>
      <w:proofErr w:type="spellEnd"/>
      <w:r>
        <w:t xml:space="preserve"> %45 seviyesindedir. Son 5 çeyrekte </w:t>
      </w:r>
      <w:proofErr w:type="spellStart"/>
      <w:r>
        <w:t>iskonto</w:t>
      </w:r>
      <w:proofErr w:type="spellEnd"/>
      <w:r>
        <w:t xml:space="preserve"> %49 ortalamaya yükselmiştir. Çalışmamızda tarihsel ortalamaya yakın %43 </w:t>
      </w:r>
      <w:proofErr w:type="spellStart"/>
      <w:r>
        <w:t>iskonto</w:t>
      </w:r>
      <w:proofErr w:type="spellEnd"/>
      <w:r>
        <w:t xml:space="preserve"> oranı kullanılmıştır.</w:t>
      </w:r>
    </w:p>
    <w:p w:rsidR="008D4D4F" w:rsidRDefault="008D4D4F" w:rsidP="008D4D4F">
      <w:pPr>
        <w:pStyle w:val="NormalWeb"/>
      </w:pPr>
      <w:r>
        <w:t>Bu doğrultuda:</w:t>
      </w:r>
    </w:p>
    <w:p w:rsidR="008D4D4F" w:rsidRDefault="008D4D4F" w:rsidP="008D4D4F">
      <w:pPr>
        <w:pStyle w:val="NormalWeb"/>
        <w:rPr>
          <w:rStyle w:val="Vurgu"/>
          <w:b/>
          <w:bCs/>
        </w:rPr>
      </w:pPr>
      <w:r>
        <w:rPr>
          <w:rStyle w:val="Vurgu"/>
          <w:b/>
          <w:bCs/>
        </w:rPr>
        <w:t>SOTP hedef fiyat: 229,75 TL</w:t>
      </w:r>
    </w:p>
    <w:p w:rsidR="008D4D4F" w:rsidRDefault="008D4D4F" w:rsidP="008D4D4F">
      <w:pPr>
        <w:pStyle w:val="NormalWeb"/>
      </w:pPr>
      <w:r>
        <w:rPr>
          <w:rStyle w:val="Vurgu"/>
          <w:b/>
          <w:bCs/>
        </w:rPr>
        <w:t>2- Çarpan Analizi (İleriye Dönük)</w:t>
      </w:r>
    </w:p>
    <w:p w:rsidR="008D4D4F" w:rsidRDefault="008D4D4F" w:rsidP="008D4D4F">
      <w:pPr>
        <w:pStyle w:val="NormalWeb"/>
      </w:pPr>
      <w:r>
        <w:t xml:space="preserve">Net kâr ve </w:t>
      </w:r>
      <w:proofErr w:type="spellStart"/>
      <w:r>
        <w:t>özkaynak</w:t>
      </w:r>
      <w:proofErr w:type="spellEnd"/>
      <w:r>
        <w:t xml:space="preserve"> </w:t>
      </w:r>
      <w:proofErr w:type="gramStart"/>
      <w:r>
        <w:t>projeksiyonlarına</w:t>
      </w:r>
      <w:proofErr w:type="gramEnd"/>
      <w:r>
        <w:t xml:space="preserve"> dayalı olarak ileri F/K ve PD/DD çarpanları kullanılmıştır.</w:t>
      </w:r>
    </w:p>
    <w:p w:rsidR="008D4D4F" w:rsidRDefault="008D4D4F" w:rsidP="008D4D4F">
      <w:pPr>
        <w:numPr>
          <w:ilvl w:val="0"/>
          <w:numId w:val="2"/>
        </w:numPr>
        <w:spacing w:before="100" w:beforeAutospacing="1" w:after="100" w:afterAutospacing="1" w:line="240" w:lineRule="auto"/>
      </w:pPr>
      <w:r>
        <w:t>Tahmini Net Kâr: </w:t>
      </w:r>
      <w:r>
        <w:rPr>
          <w:rStyle w:val="Gl"/>
        </w:rPr>
        <w:t>48,41 milyar TL</w:t>
      </w:r>
    </w:p>
    <w:p w:rsidR="008D4D4F" w:rsidRDefault="008D4D4F" w:rsidP="008D4D4F">
      <w:pPr>
        <w:numPr>
          <w:ilvl w:val="0"/>
          <w:numId w:val="2"/>
        </w:numPr>
        <w:spacing w:before="100" w:beforeAutospacing="1" w:after="100" w:afterAutospacing="1" w:line="240" w:lineRule="auto"/>
      </w:pPr>
      <w:r>
        <w:t xml:space="preserve">Tahmini </w:t>
      </w:r>
      <w:proofErr w:type="spellStart"/>
      <w:r>
        <w:t>Özkaynak</w:t>
      </w:r>
      <w:proofErr w:type="spellEnd"/>
      <w:r>
        <w:t>; </w:t>
      </w:r>
      <w:r>
        <w:rPr>
          <w:rStyle w:val="Gl"/>
        </w:rPr>
        <w:t>725,76 milyar TL</w:t>
      </w:r>
    </w:p>
    <w:p w:rsidR="008D4D4F" w:rsidRDefault="008D4D4F" w:rsidP="008D4D4F">
      <w:pPr>
        <w:numPr>
          <w:ilvl w:val="0"/>
          <w:numId w:val="2"/>
        </w:numPr>
        <w:spacing w:before="100" w:beforeAutospacing="1" w:after="100" w:afterAutospacing="1" w:line="240" w:lineRule="auto"/>
      </w:pPr>
      <w:r>
        <w:t>İleri F/K; </w:t>
      </w:r>
      <w:r>
        <w:rPr>
          <w:rStyle w:val="Gl"/>
        </w:rPr>
        <w:t>21,07</w:t>
      </w:r>
    </w:p>
    <w:p w:rsidR="008D4D4F" w:rsidRDefault="008D4D4F" w:rsidP="008D4D4F">
      <w:pPr>
        <w:numPr>
          <w:ilvl w:val="0"/>
          <w:numId w:val="2"/>
        </w:numPr>
        <w:spacing w:before="100" w:beforeAutospacing="1" w:after="100" w:afterAutospacing="1" w:line="240" w:lineRule="auto"/>
      </w:pPr>
      <w:r>
        <w:t>İleri PD/D; </w:t>
      </w:r>
      <w:r>
        <w:rPr>
          <w:rStyle w:val="Gl"/>
        </w:rPr>
        <w:t>1,41</w:t>
      </w:r>
    </w:p>
    <w:p w:rsidR="008D4D4F" w:rsidRDefault="008D4D4F" w:rsidP="008D4D4F">
      <w:pPr>
        <w:pStyle w:val="NormalWeb"/>
      </w:pPr>
      <w:r>
        <w:t>Çarpanlar belirlenirken şirketin son 10 yıllık</w:t>
      </w:r>
      <w:r>
        <w:rPr>
          <w:rStyle w:val="Vurgu"/>
        </w:rPr>
        <w:t> </w:t>
      </w:r>
      <w:r>
        <w:t>tarihsel ortalamaları ve benzer holding şirketleri dikkate alınmıştır.</w:t>
      </w:r>
    </w:p>
    <w:p w:rsidR="008D4D4F" w:rsidRDefault="008D4D4F" w:rsidP="008D4D4F">
      <w:pPr>
        <w:pStyle w:val="NormalWeb"/>
      </w:pPr>
      <w:r>
        <w:rPr>
          <w:rStyle w:val="Gl"/>
        </w:rPr>
        <w:lastRenderedPageBreak/>
        <w:t>Çarpan analizine göre hedef fiyat: 403,00 TL</w:t>
      </w:r>
    </w:p>
    <w:p w:rsidR="008D4D4F" w:rsidRDefault="008D4D4F" w:rsidP="008D4D4F">
      <w:pPr>
        <w:pStyle w:val="NormalWeb"/>
      </w:pPr>
      <w:r>
        <w:rPr>
          <w:rStyle w:val="Vurgu"/>
        </w:rPr>
        <w:t xml:space="preserve">Dikkat çekici şekilde, çarpan analizi sonucu ile </w:t>
      </w:r>
      <w:proofErr w:type="spellStart"/>
      <w:r>
        <w:rPr>
          <w:rStyle w:val="Vurgu"/>
        </w:rPr>
        <w:t>iskontosuz</w:t>
      </w:r>
      <w:proofErr w:type="spellEnd"/>
      <w:r>
        <w:rPr>
          <w:rStyle w:val="Vurgu"/>
        </w:rPr>
        <w:t xml:space="preserve"> NAD değeri (406 TL) birbirine oldukça yakındır. Bu durum projeksiyonlar ile </w:t>
      </w:r>
      <w:proofErr w:type="gramStart"/>
      <w:r>
        <w:rPr>
          <w:rStyle w:val="Vurgu"/>
        </w:rPr>
        <w:t>portföy</w:t>
      </w:r>
      <w:proofErr w:type="gramEnd"/>
      <w:r>
        <w:rPr>
          <w:rStyle w:val="Vurgu"/>
        </w:rPr>
        <w:t xml:space="preserve"> değerlemesi arasında güçlü bir iç tutarlılığa işaret etmektedir.</w:t>
      </w:r>
    </w:p>
    <w:p w:rsidR="008D4D4F" w:rsidRPr="008D4D4F" w:rsidRDefault="008D4D4F" w:rsidP="008D4D4F">
      <w:pPr>
        <w:pStyle w:val="NormalWeb"/>
        <w:rPr>
          <w:b/>
        </w:rPr>
      </w:pPr>
      <w:r w:rsidRPr="008D4D4F">
        <w:rPr>
          <w:b/>
        </w:rPr>
        <w:t xml:space="preserve">3- Nihai Değerleme </w:t>
      </w:r>
    </w:p>
    <w:p w:rsidR="008D4D4F" w:rsidRDefault="008D4D4F" w:rsidP="008D4D4F">
      <w:pPr>
        <w:pStyle w:val="NormalWeb"/>
      </w:pPr>
      <w:r>
        <w:t xml:space="preserve">Holding değerlemelerinde NAD yaklaşımının ana referans olması nedeniyle %60 ağırlık verilmiştir. Çarpan analizi ise ileriye dönük potansiyeli yansıtması açısından %40 ağırlıkla modele </w:t>
      </w:r>
      <w:proofErr w:type="gramStart"/>
      <w:r>
        <w:t>dahil</w:t>
      </w:r>
      <w:proofErr w:type="gramEnd"/>
      <w:r>
        <w:t xml:space="preserve"> edilmiştir.</w:t>
      </w:r>
    </w:p>
    <w:p w:rsidR="008D4D4F" w:rsidRDefault="008D4D4F" w:rsidP="008D4D4F">
      <w:pPr>
        <w:pStyle w:val="NormalWeb"/>
      </w:pPr>
      <w:r>
        <w:t>Bu çerçevede:</w:t>
      </w:r>
    </w:p>
    <w:p w:rsidR="008D4D4F" w:rsidRDefault="008D4D4F" w:rsidP="008D4D4F">
      <w:pPr>
        <w:pStyle w:val="NormalWeb"/>
      </w:pPr>
      <w:r>
        <w:rPr>
          <w:rStyle w:val="Gl"/>
        </w:rPr>
        <w:t>12 aylık hedef fiyat: 299,05 TL</w:t>
      </w:r>
    </w:p>
    <w:p w:rsidR="008D4D4F" w:rsidRDefault="008D4D4F" w:rsidP="008D4D4F">
      <w:pPr>
        <w:pStyle w:val="NormalWeb"/>
      </w:pPr>
      <w:r>
        <w:t xml:space="preserve">Bir önceki raporda (2025/09) yer alan 267,03 TL hedef fiyat, gerek iştirak değerleri, gerekse net kâr </w:t>
      </w:r>
      <w:proofErr w:type="gramStart"/>
      <w:r>
        <w:t>projeksiyonlarındaki</w:t>
      </w:r>
      <w:proofErr w:type="gramEnd"/>
      <w:r>
        <w:t xml:space="preserve"> iyileşme ve holding </w:t>
      </w:r>
      <w:proofErr w:type="spellStart"/>
      <w:r>
        <w:t>iskontosunda</w:t>
      </w:r>
      <w:proofErr w:type="spellEnd"/>
      <w:r>
        <w:t xml:space="preserve"> kısmi normalleşme varsayımı doğrultusunda yukarı yönlü revize edilmiştir.</w:t>
      </w:r>
    </w:p>
    <w:p w:rsidR="008D4D4F" w:rsidRPr="008D4D4F" w:rsidRDefault="008D4D4F" w:rsidP="008D4D4F"/>
    <w:sectPr w:rsidR="008D4D4F" w:rsidRPr="008D4D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121B1"/>
    <w:multiLevelType w:val="multilevel"/>
    <w:tmpl w:val="53D4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3C4D56"/>
    <w:multiLevelType w:val="multilevel"/>
    <w:tmpl w:val="58BE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38"/>
    <w:rsid w:val="000152BB"/>
    <w:rsid w:val="0003555E"/>
    <w:rsid w:val="00395538"/>
    <w:rsid w:val="006A381A"/>
    <w:rsid w:val="006E0487"/>
    <w:rsid w:val="007333C2"/>
    <w:rsid w:val="00816E64"/>
    <w:rsid w:val="008D4D4F"/>
    <w:rsid w:val="00DB4DD0"/>
    <w:rsid w:val="00E50DD0"/>
    <w:rsid w:val="00F160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8D4D4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8D4D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1msonormal">
    <w:name w:val="v1msonormal"/>
    <w:basedOn w:val="Normal"/>
    <w:rsid w:val="007333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F160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60E3"/>
    <w:rPr>
      <w:b/>
      <w:bCs/>
    </w:rPr>
  </w:style>
  <w:style w:type="paragraph" w:styleId="BalonMetni">
    <w:name w:val="Balloon Text"/>
    <w:basedOn w:val="Normal"/>
    <w:link w:val="BalonMetniChar"/>
    <w:uiPriority w:val="99"/>
    <w:semiHidden/>
    <w:unhideWhenUsed/>
    <w:rsid w:val="000355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555E"/>
    <w:rPr>
      <w:rFonts w:ascii="Tahoma" w:hAnsi="Tahoma" w:cs="Tahoma"/>
      <w:sz w:val="16"/>
      <w:szCs w:val="16"/>
    </w:rPr>
  </w:style>
  <w:style w:type="character" w:styleId="Kpr">
    <w:name w:val="Hyperlink"/>
    <w:basedOn w:val="VarsaylanParagrafYazTipi"/>
    <w:uiPriority w:val="99"/>
    <w:unhideWhenUsed/>
    <w:rsid w:val="006E0487"/>
    <w:rPr>
      <w:color w:val="0000FF" w:themeColor="hyperlink"/>
      <w:u w:val="single"/>
    </w:rPr>
  </w:style>
  <w:style w:type="character" w:styleId="zlenenKpr">
    <w:name w:val="FollowedHyperlink"/>
    <w:basedOn w:val="VarsaylanParagrafYazTipi"/>
    <w:uiPriority w:val="99"/>
    <w:semiHidden/>
    <w:unhideWhenUsed/>
    <w:rsid w:val="006E0487"/>
    <w:rPr>
      <w:color w:val="800080" w:themeColor="followedHyperlink"/>
      <w:u w:val="single"/>
    </w:rPr>
  </w:style>
  <w:style w:type="character" w:customStyle="1" w:styleId="css-1jxf684">
    <w:name w:val="css-1jxf684"/>
    <w:basedOn w:val="VarsaylanParagrafYazTipi"/>
    <w:rsid w:val="000152BB"/>
  </w:style>
  <w:style w:type="character" w:customStyle="1" w:styleId="Balk2Char">
    <w:name w:val="Başlık 2 Char"/>
    <w:basedOn w:val="VarsaylanParagrafYazTipi"/>
    <w:link w:val="Balk2"/>
    <w:uiPriority w:val="9"/>
    <w:rsid w:val="008D4D4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D4D4F"/>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8D4D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8D4D4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8D4D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1msonormal">
    <w:name w:val="v1msonormal"/>
    <w:basedOn w:val="Normal"/>
    <w:rsid w:val="007333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F160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60E3"/>
    <w:rPr>
      <w:b/>
      <w:bCs/>
    </w:rPr>
  </w:style>
  <w:style w:type="paragraph" w:styleId="BalonMetni">
    <w:name w:val="Balloon Text"/>
    <w:basedOn w:val="Normal"/>
    <w:link w:val="BalonMetniChar"/>
    <w:uiPriority w:val="99"/>
    <w:semiHidden/>
    <w:unhideWhenUsed/>
    <w:rsid w:val="000355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555E"/>
    <w:rPr>
      <w:rFonts w:ascii="Tahoma" w:hAnsi="Tahoma" w:cs="Tahoma"/>
      <w:sz w:val="16"/>
      <w:szCs w:val="16"/>
    </w:rPr>
  </w:style>
  <w:style w:type="character" w:styleId="Kpr">
    <w:name w:val="Hyperlink"/>
    <w:basedOn w:val="VarsaylanParagrafYazTipi"/>
    <w:uiPriority w:val="99"/>
    <w:unhideWhenUsed/>
    <w:rsid w:val="006E0487"/>
    <w:rPr>
      <w:color w:val="0000FF" w:themeColor="hyperlink"/>
      <w:u w:val="single"/>
    </w:rPr>
  </w:style>
  <w:style w:type="character" w:styleId="zlenenKpr">
    <w:name w:val="FollowedHyperlink"/>
    <w:basedOn w:val="VarsaylanParagrafYazTipi"/>
    <w:uiPriority w:val="99"/>
    <w:semiHidden/>
    <w:unhideWhenUsed/>
    <w:rsid w:val="006E0487"/>
    <w:rPr>
      <w:color w:val="800080" w:themeColor="followedHyperlink"/>
      <w:u w:val="single"/>
    </w:rPr>
  </w:style>
  <w:style w:type="character" w:customStyle="1" w:styleId="css-1jxf684">
    <w:name w:val="css-1jxf684"/>
    <w:basedOn w:val="VarsaylanParagrafYazTipi"/>
    <w:rsid w:val="000152BB"/>
  </w:style>
  <w:style w:type="character" w:customStyle="1" w:styleId="Balk2Char">
    <w:name w:val="Başlık 2 Char"/>
    <w:basedOn w:val="VarsaylanParagrafYazTipi"/>
    <w:link w:val="Balk2"/>
    <w:uiPriority w:val="9"/>
    <w:rsid w:val="008D4D4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D4D4F"/>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8D4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52793">
      <w:bodyDiv w:val="1"/>
      <w:marLeft w:val="0"/>
      <w:marRight w:val="0"/>
      <w:marTop w:val="0"/>
      <w:marBottom w:val="0"/>
      <w:divBdr>
        <w:top w:val="none" w:sz="0" w:space="0" w:color="auto"/>
        <w:left w:val="none" w:sz="0" w:space="0" w:color="auto"/>
        <w:bottom w:val="none" w:sz="0" w:space="0" w:color="auto"/>
        <w:right w:val="none" w:sz="0" w:space="0" w:color="auto"/>
      </w:divBdr>
    </w:div>
    <w:div w:id="187989969">
      <w:bodyDiv w:val="1"/>
      <w:marLeft w:val="0"/>
      <w:marRight w:val="0"/>
      <w:marTop w:val="0"/>
      <w:marBottom w:val="0"/>
      <w:divBdr>
        <w:top w:val="none" w:sz="0" w:space="0" w:color="auto"/>
        <w:left w:val="none" w:sz="0" w:space="0" w:color="auto"/>
        <w:bottom w:val="none" w:sz="0" w:space="0" w:color="auto"/>
        <w:right w:val="none" w:sz="0" w:space="0" w:color="auto"/>
      </w:divBdr>
    </w:div>
    <w:div w:id="666371431">
      <w:bodyDiv w:val="1"/>
      <w:marLeft w:val="0"/>
      <w:marRight w:val="0"/>
      <w:marTop w:val="0"/>
      <w:marBottom w:val="0"/>
      <w:divBdr>
        <w:top w:val="none" w:sz="0" w:space="0" w:color="auto"/>
        <w:left w:val="none" w:sz="0" w:space="0" w:color="auto"/>
        <w:bottom w:val="none" w:sz="0" w:space="0" w:color="auto"/>
        <w:right w:val="none" w:sz="0" w:space="0" w:color="auto"/>
      </w:divBdr>
    </w:div>
    <w:div w:id="1067725089">
      <w:bodyDiv w:val="1"/>
      <w:marLeft w:val="0"/>
      <w:marRight w:val="0"/>
      <w:marTop w:val="0"/>
      <w:marBottom w:val="0"/>
      <w:divBdr>
        <w:top w:val="none" w:sz="0" w:space="0" w:color="auto"/>
        <w:left w:val="none" w:sz="0" w:space="0" w:color="auto"/>
        <w:bottom w:val="none" w:sz="0" w:space="0" w:color="auto"/>
        <w:right w:val="none" w:sz="0" w:space="0" w:color="auto"/>
      </w:divBdr>
    </w:div>
    <w:div w:id="1288052333">
      <w:bodyDiv w:val="1"/>
      <w:marLeft w:val="0"/>
      <w:marRight w:val="0"/>
      <w:marTop w:val="0"/>
      <w:marBottom w:val="0"/>
      <w:divBdr>
        <w:top w:val="none" w:sz="0" w:space="0" w:color="auto"/>
        <w:left w:val="none" w:sz="0" w:space="0" w:color="auto"/>
        <w:bottom w:val="none" w:sz="0" w:space="0" w:color="auto"/>
        <w:right w:val="none" w:sz="0" w:space="0" w:color="auto"/>
      </w:divBdr>
    </w:div>
    <w:div w:id="1558584030">
      <w:bodyDiv w:val="1"/>
      <w:marLeft w:val="0"/>
      <w:marRight w:val="0"/>
      <w:marTop w:val="0"/>
      <w:marBottom w:val="0"/>
      <w:divBdr>
        <w:top w:val="none" w:sz="0" w:space="0" w:color="auto"/>
        <w:left w:val="none" w:sz="0" w:space="0" w:color="auto"/>
        <w:bottom w:val="none" w:sz="0" w:space="0" w:color="auto"/>
        <w:right w:val="none" w:sz="0" w:space="0" w:color="auto"/>
      </w:divBdr>
    </w:div>
    <w:div w:id="1620456789">
      <w:bodyDiv w:val="1"/>
      <w:marLeft w:val="0"/>
      <w:marRight w:val="0"/>
      <w:marTop w:val="0"/>
      <w:marBottom w:val="0"/>
      <w:divBdr>
        <w:top w:val="none" w:sz="0" w:space="0" w:color="auto"/>
        <w:left w:val="none" w:sz="0" w:space="0" w:color="auto"/>
        <w:bottom w:val="none" w:sz="0" w:space="0" w:color="auto"/>
        <w:right w:val="none" w:sz="0" w:space="0" w:color="auto"/>
      </w:divBdr>
    </w:div>
    <w:div w:id="1660113278">
      <w:bodyDiv w:val="1"/>
      <w:marLeft w:val="0"/>
      <w:marRight w:val="0"/>
      <w:marTop w:val="0"/>
      <w:marBottom w:val="0"/>
      <w:divBdr>
        <w:top w:val="none" w:sz="0" w:space="0" w:color="auto"/>
        <w:left w:val="none" w:sz="0" w:space="0" w:color="auto"/>
        <w:bottom w:val="none" w:sz="0" w:space="0" w:color="auto"/>
        <w:right w:val="none" w:sz="0" w:space="0" w:color="auto"/>
      </w:divBdr>
    </w:div>
    <w:div w:id="1768119035">
      <w:bodyDiv w:val="1"/>
      <w:marLeft w:val="0"/>
      <w:marRight w:val="0"/>
      <w:marTop w:val="0"/>
      <w:marBottom w:val="0"/>
      <w:divBdr>
        <w:top w:val="none" w:sz="0" w:space="0" w:color="auto"/>
        <w:left w:val="none" w:sz="0" w:space="0" w:color="auto"/>
        <w:bottom w:val="none" w:sz="0" w:space="0" w:color="auto"/>
        <w:right w:val="none" w:sz="0" w:space="0" w:color="auto"/>
      </w:divBdr>
    </w:div>
    <w:div w:id="1826311631">
      <w:bodyDiv w:val="1"/>
      <w:marLeft w:val="0"/>
      <w:marRight w:val="0"/>
      <w:marTop w:val="0"/>
      <w:marBottom w:val="0"/>
      <w:divBdr>
        <w:top w:val="none" w:sz="0" w:space="0" w:color="auto"/>
        <w:left w:val="none" w:sz="0" w:space="0" w:color="auto"/>
        <w:bottom w:val="none" w:sz="0" w:space="0" w:color="auto"/>
        <w:right w:val="none" w:sz="0" w:space="0" w:color="auto"/>
      </w:divBdr>
    </w:div>
    <w:div w:id="18812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5A422-E3B0-4CDF-9EE8-FA4D775E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1224</Words>
  <Characters>6980</Characters>
  <Application>Microsoft Office Word</Application>
  <DocSecurity>0</DocSecurity>
  <Lines>58</Lines>
  <Paragraphs>16</Paragraphs>
  <ScaleCrop>false</ScaleCrop>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19</cp:revision>
  <dcterms:created xsi:type="dcterms:W3CDTF">2026-01-30T05:54:00Z</dcterms:created>
  <dcterms:modified xsi:type="dcterms:W3CDTF">2026-02-12T07:58:00Z</dcterms:modified>
</cp:coreProperties>
</file>