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0B" w:rsidRPr="0070580B" w:rsidRDefault="0070580B" w:rsidP="0070580B">
      <w:pPr>
        <w:spacing w:after="0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Şirket</w:t>
      </w:r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4Ç23'de 11,861mn TL net kâr açıkladı. Piyasa beklentileri 1ç933mn TL seviyesindeydi. Net kardaki bu büyük sapmada 11 milyar TL seviyesindeki vergi geliri etkili oldu. N</w:t>
      </w:r>
      <w:bookmarkStart w:id="0" w:name="_GoBack"/>
      <w:bookmarkEnd w:id="0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et kâr çeyreklik 53.66% artarken,  geçen yıl aynı döneme göre yıllık </w:t>
      </w:r>
      <w:proofErr w:type="gram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185.65</w:t>
      </w:r>
      <w:proofErr w:type="gram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% yükseliş gösterdi. Buna karşın vergi öncesi kar yıllık %78 daralma gösterdi. Net kâr </w:t>
      </w:r>
      <w:proofErr w:type="gram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marjı</w:t>
      </w:r>
      <w:proofErr w:type="gram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4Ç23'de 63.92% olurken, önceki çeyrekte 27.50% ve geçen yıl aynı çeyrekte 33.28% olmuştu. Kar </w:t>
      </w:r>
      <w:proofErr w:type="gram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marjındaki</w:t>
      </w:r>
      <w:proofErr w:type="gram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artışta vergi geliri etkili oldu.</w:t>
      </w:r>
    </w:p>
    <w:p w:rsidR="0070580B" w:rsidRPr="0070580B" w:rsidRDefault="0070580B" w:rsidP="0070580B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Satış gelirleri 4Ç23'de beklentinin biraz üzerinde 18557mn TL seviyesinde gerçekleşti.  Satışlar önceki çeyreğe göre -33.90% azalırken, geçen yıl aynı döneme göre yıllık 48.72%  büyüdü. Brüt kâr </w:t>
      </w:r>
      <w:proofErr w:type="gram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marjı</w:t>
      </w:r>
      <w:proofErr w:type="gram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4Ç23'de 10.27% oldu. Önceki çeyrekte 38.34% ve geçen yıl aynı dönem 27.40% olmuştu.</w:t>
      </w:r>
    </w:p>
    <w:p w:rsidR="0070580B" w:rsidRPr="0070580B" w:rsidRDefault="0070580B" w:rsidP="0070580B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proofErr w:type="spell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Favök</w:t>
      </w:r>
      <w:proofErr w:type="spell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aynı dönemde 3,618mn TL olurken, yıllık </w:t>
      </w:r>
      <w:proofErr w:type="gram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bazda</w:t>
      </w:r>
      <w:proofErr w:type="gram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-8.77%  azalış gösterdi. </w:t>
      </w:r>
      <w:proofErr w:type="spell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Favök</w:t>
      </w:r>
      <w:proofErr w:type="spell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beklentilerin bir miktar altında kalırken çeyreklik -69.99% küçüldü. </w:t>
      </w:r>
      <w:proofErr w:type="spell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Favök</w:t>
      </w:r>
      <w:proofErr w:type="spell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</w:t>
      </w:r>
      <w:proofErr w:type="gram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marjı</w:t>
      </w:r>
      <w:proofErr w:type="gram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aynı dönemde 19.50% seviyesinde oluştu. Önceki çeyrekte 42.95% , geçen yıl aynı dönemde 31.78% olmuştu.</w:t>
      </w:r>
    </w:p>
    <w:p w:rsidR="0070580B" w:rsidRPr="0070580B" w:rsidRDefault="0070580B" w:rsidP="0070580B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Şirket'in 4Ç23'deki ihracat oranı 52.80% seviyesinde oldu. Geçen yıl aynı dönemde 61.31% seviyesinde gerçekleşmişti.</w:t>
      </w:r>
    </w:p>
    <w:p w:rsidR="0070580B" w:rsidRPr="0070580B" w:rsidRDefault="0070580B" w:rsidP="0070580B">
      <w:pPr>
        <w:spacing w:after="0" w:line="360" w:lineRule="atLeast"/>
        <w:ind w:left="150" w:right="150"/>
        <w:textAlignment w:val="baseline"/>
        <w:outlineLvl w:val="1"/>
        <w:rPr>
          <w:rFonts w:ascii="Arial" w:eastAsia="Times New Roman" w:hAnsi="Arial" w:cs="Arial"/>
          <w:b/>
          <w:bCs/>
          <w:color w:val="0A4975"/>
          <w:spacing w:val="-1"/>
          <w:sz w:val="27"/>
          <w:szCs w:val="27"/>
          <w:lang w:eastAsia="tr-TR"/>
        </w:rPr>
      </w:pPr>
      <w:r w:rsidRPr="0070580B">
        <w:rPr>
          <w:rFonts w:ascii="inherit" w:eastAsia="Times New Roman" w:hAnsi="inherit" w:cs="Arial"/>
          <w:b/>
          <w:bCs/>
          <w:color w:val="0A4975"/>
          <w:spacing w:val="-1"/>
          <w:sz w:val="27"/>
          <w:szCs w:val="27"/>
          <w:bdr w:val="none" w:sz="0" w:space="0" w:color="auto" w:frame="1"/>
          <w:lang w:eastAsia="tr-TR"/>
        </w:rPr>
        <w:t>12 Aylık Sonuçlar</w:t>
      </w:r>
    </w:p>
    <w:p w:rsidR="0070580B" w:rsidRPr="0070580B" w:rsidRDefault="0070580B" w:rsidP="0070580B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2023 yılında şirket 20,908 </w:t>
      </w:r>
      <w:proofErr w:type="spell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TL net kâr açıkladı. Net kâr geçen yıl aynı döneme göre </w:t>
      </w:r>
      <w:proofErr w:type="gram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194.47</w:t>
      </w:r>
      <w:proofErr w:type="gram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%  büyüdü.  Bu dönemde şirket 70,532 </w:t>
      </w:r>
      <w:proofErr w:type="spell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TL satış geliri elde ederken satış gelirleri yıllık 65.05% artış gösterdi. FAVÖK 21,626 milyon TL oldu  ve yıllık </w:t>
      </w:r>
      <w:proofErr w:type="gram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bazda</w:t>
      </w:r>
      <w:proofErr w:type="gram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53.38% arttı.</w:t>
      </w:r>
    </w:p>
    <w:p w:rsidR="0070580B" w:rsidRPr="0070580B" w:rsidRDefault="0070580B" w:rsidP="0070580B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2023 yılında şirket 23.85% brüt kâr </w:t>
      </w:r>
      <w:proofErr w:type="gram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marjı</w:t>
      </w:r>
      <w:proofErr w:type="gram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ile çalıştı. Geçen yıl aynı dönemde 27.09% olmuştu. </w:t>
      </w:r>
      <w:proofErr w:type="spell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Favök</w:t>
      </w:r>
      <w:proofErr w:type="spell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</w:t>
      </w:r>
      <w:proofErr w:type="gram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marjı</w:t>
      </w:r>
      <w:proofErr w:type="gram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30.66% seviyesinde olurken, geçen yıl 32.99% olmuştu. Net kâr </w:t>
      </w:r>
      <w:proofErr w:type="gram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marjı</w:t>
      </w:r>
      <w:proofErr w:type="gram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29.64% oldu. Geçen yıl aynı dönemde 16.62% olmuştu.</w:t>
      </w:r>
    </w:p>
    <w:p w:rsidR="0070580B" w:rsidRPr="0070580B" w:rsidRDefault="0070580B" w:rsidP="0070580B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Aktif kârlılığı 14.04% olurken, geçen yıl aynı dönemde 9.55% olmuştu. Sektör ortalaması 10.75% seviyesinde bulunuyor.</w:t>
      </w:r>
    </w:p>
    <w:p w:rsidR="0070580B" w:rsidRPr="0070580B" w:rsidRDefault="0070580B" w:rsidP="0070580B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proofErr w:type="spell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Özsermaye</w:t>
      </w:r>
      <w:proofErr w:type="spell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kârlılığı 57.51% olurken, geçen yıl aynı dönemde 57.00% olmuştu. Sektör ortalaması 33.16% seviyesinde bulunuyor.</w:t>
      </w:r>
    </w:p>
    <w:p w:rsidR="0070580B" w:rsidRPr="0070580B" w:rsidRDefault="0070580B" w:rsidP="0070580B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İhracat oranı 56.72% seviyesinde gerçekleşti. 2022 yılının tamamında ihracat oranı 58.91% olmuştu.</w:t>
      </w:r>
    </w:p>
    <w:p w:rsidR="0070580B" w:rsidRPr="0070580B" w:rsidRDefault="0070580B" w:rsidP="0070580B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Bu dönemin sonunda şirketin 84,905 </w:t>
      </w:r>
      <w:proofErr w:type="spell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TL net borcu bulunuyor. 2022 yılının sonunda şirketin 48,180 </w:t>
      </w:r>
      <w:proofErr w:type="spell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TL borcu bulunuyordu. Net borç / FAVÖK oranı yıllık </w:t>
      </w:r>
      <w:proofErr w:type="gram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bazda</w:t>
      </w:r>
      <w:proofErr w:type="gram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3.93x seviyesinde bulunuyor. Cari oran 1.29x ve likidite oranı ise 1.26x seviyelerinde. Sektör ortalaması cari oran için 1.12x ve likidite oranı için 1.06x seviyesinde bulunuyor.</w:t>
      </w:r>
    </w:p>
    <w:p w:rsidR="0070580B" w:rsidRPr="0070580B" w:rsidRDefault="0070580B" w:rsidP="0070580B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Şirketin borç kaynak oranı 72.93% seviyesinde. Geçen yıl aynı dönemde 81.16% seviyesindeydi. Sektör ortalaması borç kaynak oranı için 65.09% seviyesinde bulunuyor.</w:t>
      </w:r>
    </w:p>
    <w:p w:rsidR="0070580B" w:rsidRPr="0070580B" w:rsidRDefault="0070580B" w:rsidP="0070580B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Şirketin nakit değerleri 2022 </w:t>
      </w:r>
      <w:proofErr w:type="gram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yıl sonuna</w:t>
      </w:r>
      <w:proofErr w:type="gram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göre 5,520.1 milyon TL artarak 16,078.4 milyon TL oldu. İşletme faaliyetlerinden </w:t>
      </w:r>
      <w:proofErr w:type="gram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20176.7</w:t>
      </w:r>
      <w:proofErr w:type="gram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milyon TL nakit girişi sağlandı. Yatırım faaliyetlerinden 10,953.3 milyon TL nakit çıkışı olurken, finansman faaliyetlerinden 10,474.4 milyon TL nakit çıkışı sağlandı.</w:t>
      </w:r>
    </w:p>
    <w:p w:rsidR="0070580B" w:rsidRPr="0070580B" w:rsidRDefault="0070580B" w:rsidP="0070580B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lastRenderedPageBreak/>
        <w:t>Finansman giderlerinin net satışlara oranı 6.15% olurken, geçen yıl aynı dönemde 8.25% olmuştu.</w:t>
      </w:r>
    </w:p>
    <w:p w:rsidR="0070580B" w:rsidRPr="0070580B" w:rsidRDefault="0070580B" w:rsidP="0070580B">
      <w:pPr>
        <w:spacing w:after="225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Nakit döndürme süresi bu dönemin sonunda -20.69 gün olarak gerçekleşti. Sektör ortalaması ise -4.72 gün seviyesinde bulunuyor.</w:t>
      </w:r>
    </w:p>
    <w:p w:rsidR="0070580B" w:rsidRPr="0070580B" w:rsidRDefault="0070580B" w:rsidP="0070580B">
      <w:pPr>
        <w:spacing w:after="300" w:line="240" w:lineRule="auto"/>
        <w:ind w:left="150" w:right="150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Şirket son kapanışa göre 170,428 </w:t>
      </w:r>
      <w:proofErr w:type="spell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TL firma değerinde bulunuyor. Son duruma göre 4.09x F/K (sektör 6.48x), 7.88x FD/FAVÖK (sektör 7.02x) ve 1.56x PD/DD (sektör1.52x) piyasa çarpanlarıyla işlem görüyor. Net kar rakamındaki artışın vergi geliri kaynaklı olması, </w:t>
      </w:r>
      <w:proofErr w:type="spell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operasyonel</w:t>
      </w:r>
      <w:proofErr w:type="spellEnd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 xml:space="preserve"> sonuçların ise 4Ç’de geçen yıla göre zayıf kalması dikkat çekiyor. </w:t>
      </w:r>
      <w:proofErr w:type="gramStart"/>
      <w:r w:rsidRPr="0070580B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t>Ancak Şirket makul piyasa çarpanlarında işlem görmekte.</w:t>
      </w:r>
      <w:proofErr w:type="gramEnd"/>
    </w:p>
    <w:p w:rsidR="00D06C01" w:rsidRDefault="00D06C01"/>
    <w:sectPr w:rsidR="00D0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9B"/>
    <w:rsid w:val="0070580B"/>
    <w:rsid w:val="00D06C01"/>
    <w:rsid w:val="00D1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05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0580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0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0580B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05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05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0580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0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0580B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0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3</cp:revision>
  <dcterms:created xsi:type="dcterms:W3CDTF">2024-03-05T06:02:00Z</dcterms:created>
  <dcterms:modified xsi:type="dcterms:W3CDTF">2024-03-05T06:02:00Z</dcterms:modified>
</cp:coreProperties>
</file>