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0E" w:rsidRPr="00EA520E" w:rsidRDefault="00EA520E" w:rsidP="00EA520E">
      <w:pPr>
        <w:spacing w:after="75" w:line="36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</w:pPr>
      <w:r w:rsidRPr="00EA520E"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  <w:t>TURKCELL (TCELL): 2025 Yılına Güçlü Giriş Yaptı</w:t>
      </w:r>
    </w:p>
    <w:p w:rsidR="00EA520E" w:rsidRPr="009A1A1C" w:rsidRDefault="00EA520E" w:rsidP="00EA520E">
      <w:pPr>
        <w:spacing w:line="330" w:lineRule="atLeast"/>
        <w:textAlignment w:val="baseline"/>
        <w:rPr>
          <w:rFonts w:ascii="inherit" w:eastAsia="Times New Roman" w:hAnsi="inherit" w:cs="Arial"/>
          <w:color w:val="808080" w:themeColor="background1" w:themeShade="80"/>
          <w:spacing w:val="-1"/>
          <w:sz w:val="24"/>
          <w:szCs w:val="24"/>
          <w:lang w:eastAsia="tr-TR"/>
        </w:rPr>
      </w:pPr>
      <w:r w:rsidRPr="009A1A1C">
        <w:rPr>
          <w:rFonts w:ascii="inherit" w:eastAsia="Times New Roman" w:hAnsi="inherit" w:cs="Arial"/>
          <w:color w:val="808080" w:themeColor="background1" w:themeShade="80"/>
          <w:spacing w:val="-1"/>
          <w:sz w:val="24"/>
          <w:szCs w:val="24"/>
          <w:bdr w:val="none" w:sz="0" w:space="0" w:color="auto" w:frame="1"/>
          <w:lang w:eastAsia="tr-TR"/>
        </w:rPr>
        <w:t>12 Mayıs 2025</w:t>
      </w:r>
      <w:r w:rsidRPr="009A1A1C">
        <w:rPr>
          <w:rFonts w:ascii="inherit" w:eastAsia="Times New Roman" w:hAnsi="inherit" w:cs="Arial"/>
          <w:color w:val="808080" w:themeColor="background1" w:themeShade="80"/>
          <w:spacing w:val="-1"/>
          <w:sz w:val="24"/>
          <w:szCs w:val="24"/>
          <w:u w:val="single"/>
          <w:bdr w:val="none" w:sz="0" w:space="0" w:color="auto" w:frame="1"/>
          <w:lang w:eastAsia="tr-TR"/>
        </w:rPr>
        <w:t>GCM Araştırma &amp; Analiz</w:t>
      </w:r>
      <w:r w:rsidRPr="009A1A1C">
        <w:rPr>
          <w:rFonts w:ascii="inherit" w:eastAsia="Times New Roman" w:hAnsi="inherit" w:cs="Arial"/>
          <w:color w:val="808080" w:themeColor="background1" w:themeShade="80"/>
          <w:spacing w:val="-1"/>
          <w:sz w:val="24"/>
          <w:szCs w:val="24"/>
          <w:bdr w:val="none" w:sz="0" w:space="0" w:color="auto" w:frame="1"/>
          <w:lang w:eastAsia="tr-TR"/>
        </w:rPr>
        <w:t xml:space="preserve">- Araştırma &amp; </w:t>
      </w:r>
      <w:proofErr w:type="spellStart"/>
      <w:r w:rsidRPr="009A1A1C">
        <w:rPr>
          <w:rFonts w:ascii="inherit" w:eastAsia="Times New Roman" w:hAnsi="inherit" w:cs="Arial"/>
          <w:color w:val="808080" w:themeColor="background1" w:themeShade="80"/>
          <w:spacing w:val="-1"/>
          <w:sz w:val="24"/>
          <w:szCs w:val="24"/>
          <w:bdr w:val="none" w:sz="0" w:space="0" w:color="auto" w:frame="1"/>
          <w:lang w:eastAsia="tr-TR"/>
        </w:rPr>
        <w:t>AnalizBorsa</w:t>
      </w:r>
      <w:proofErr w:type="spellEnd"/>
    </w:p>
    <w:p w:rsidR="00EA520E" w:rsidRPr="00EA520E" w:rsidRDefault="009A1A1C" w:rsidP="00EA520E">
      <w:pPr>
        <w:spacing w:after="0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bookmarkStart w:id="0" w:name="_GoBack"/>
      <w:bookmarkEnd w:id="0"/>
      <w:r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TCELL, </w:t>
      </w:r>
      <w:r w:rsidR="00EA520E"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2025 yılına hem finansal hem de </w:t>
      </w:r>
      <w:proofErr w:type="spellStart"/>
      <w:r w:rsidR="00EA520E"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operasyonel</w:t>
      </w:r>
      <w:proofErr w:type="spellEnd"/>
      <w:r w:rsidR="00EA520E"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açıdan güçlü bir giriş yaptı. Faturalı abone oranında rekor seviyeye ulaşılması, veri merkezi ve </w:t>
      </w:r>
      <w:proofErr w:type="spellStart"/>
      <w:r w:rsidR="00EA520E"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techfin</w:t>
      </w:r>
      <w:proofErr w:type="spellEnd"/>
      <w:r w:rsidR="00EA520E"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gibi yüksek katma değerli alanlardaki çift haneli büyümeler, sürdürülebilir enerji yatırımları ve dijitalleşme stratejileri, şirketin çok yönlü ve dayanıklı iş modelini destekliyor.</w:t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TCELL, 2025 yılı 1.çeyreğinde piyasa medyan beklentisi 3,2 milyar TL kar açıklanması yönündeydi ve beklentiye paralel olarak 3,08 milyar TL kar açıkladı. Net kar rakamı geçtiğimiz yılın aynı dönemine kıyasla %15’lik bir azalışa işaret etti.</w:t>
      </w:r>
    </w:p>
    <w:p w:rsidR="00EA520E" w:rsidRPr="00EA520E" w:rsidRDefault="00EA520E" w:rsidP="00EA520E">
      <w:pPr>
        <w:spacing w:after="0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noProof/>
          <w:color w:val="000000"/>
          <w:spacing w:val="-1"/>
          <w:sz w:val="24"/>
          <w:szCs w:val="24"/>
          <w:bdr w:val="none" w:sz="0" w:space="0" w:color="auto" w:frame="1"/>
          <w:lang w:eastAsia="tr-TR"/>
        </w:rPr>
        <w:drawing>
          <wp:inline distT="0" distB="0" distL="0" distR="0">
            <wp:extent cx="8191500" cy="5334000"/>
            <wp:effectExtent l="0" t="0" r="0" b="0"/>
            <wp:docPr id="1" name="Resim 1" descr="https://www.gcmyatirim.com.tr/wp-content/uploads/2025/05/12/tablo_1747034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cmyatirim.com.tr/wp-content/uploads/2025/05/12/tablo_174703428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2025 yılının ilk çeyreğinde grup gelirleri, faturalı abone artışı, enflasyona uyumlu fiyat güncellemeleri ve yüksek paketlere geçiş stratejileri sayesinde geçtiğimiz yılın aynı çeyreğine kıyasla %13 arttı. </w:t>
      </w: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Techfin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</w:t>
      </w: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segmenti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ise %31,5’lik gelir artışıyla bu büyümeye olumlu katkı sağladı.</w:t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İlk çeyrekte Grup gelirlerinin %91’ini oluşturan </w:t>
      </w: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Turkcell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Türkiye gelirleri %11,6 artarak 43,5 milyar TL’ye ulaştı. Bu büyüme, özellikle bireysel </w:t>
      </w: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segmentteki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%13,9’luk gelir artışı, fiyat güncellemeleri, abone kazanımı ve yüksek paketlere geçiş stratejileriyle desteklendi.</w:t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lastRenderedPageBreak/>
        <w:t xml:space="preserve">Net kar </w:t>
      </w:r>
      <w:proofErr w:type="gram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1.çeyrekte %6,79 olurken, geçen yılın aynı çeyreğinde %8,94 olmuştu. Brüt kar </w:t>
      </w:r>
      <w:proofErr w:type="gram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1.çeyrekte %30,00 olurken, geçen yılın aynı döneminde %22,54 olarak gerçekleşmişti.</w:t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FAVÖK 2025 yılı 1. çeyreğinde geçen yılın aynı çeyreğine göre %12 artışla 21.153 milyon TL olarak gerçekleşti. FAVÖK </w:t>
      </w:r>
      <w:proofErr w:type="gram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ise 1. çeyrekte geçen yılın aynı çeyreğine göre 0,14 puan artışla %46,58 oldu.</w:t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Vergi gideri, hem ertelenmiş vergi hem de kurumlar vergisindeki artış nedeniyle geçen yıla kıyasla %90 yükselerek 3.460 milyon TL oldu. </w:t>
      </w:r>
      <w:proofErr w:type="gram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Bu artışın temel nedeni, şirketin 2025’in ilk çeyreğinde vergi ödeyen pozisyonda olması.</w:t>
      </w:r>
      <w:proofErr w:type="gramEnd"/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2025 yılının ilk çeyreğinde </w:t>
      </w: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Turkcell’in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toplam yatırım harcamaları 16.117 milyon TL oldu. </w:t>
      </w: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Operasyonel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yatırım harcamalarının (lisans ücretleri hariç) gelirlere oranı ise %20,2 seviyesinde gerçekleşti. Bu oran, şirketin gelirlerinin önemli bir bölümünü altyapı ve teknoloji yatırımlarına ayırdığını gösteriyor denilebilir.</w:t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Mobil abone başına elde edilen aylık gelir (ARPU), stratejik fiyat düzenlemeleri, yüksek paketlere taşıma girişimleri ve faturalı abone artışı sayesinde yıllık </w:t>
      </w:r>
      <w:proofErr w:type="gram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bazda</w:t>
      </w:r>
      <w:proofErr w:type="gram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%15,9 artış gösterdi. Son 12 ayda ise 1,6 milyon faturalı abone kazanıldı.</w:t>
      </w:r>
    </w:p>
    <w:p w:rsidR="00EA520E" w:rsidRPr="00EA520E" w:rsidRDefault="00EA520E" w:rsidP="00EA520E">
      <w:pPr>
        <w:spacing w:after="0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tr-TR"/>
        </w:rPr>
        <w:t>2025 yılı beklentilerini koruyor;</w:t>
      </w:r>
    </w:p>
    <w:p w:rsidR="00EA520E" w:rsidRPr="00EA520E" w:rsidRDefault="00EA520E" w:rsidP="00EA520E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Turkcell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, 2025 yılında toplam grup gelirlerinin %7 - %9 oranında artmasını bekliyor. Veri merkezi ve bulut hizmetlerinde oldukça yüksek bir büyüme hedefleniyor. Bu alanda %32 ile %34 arasında gelir artışı bekleniyor. FAVÖK marjı hedefi %41- %42 </w:t>
      </w:r>
      <w:proofErr w:type="gram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aralığında</w:t>
      </w:r>
      <w:proofErr w:type="gram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. </w:t>
      </w:r>
      <w:proofErr w:type="spell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Operasyonel</w:t>
      </w:r>
      <w:proofErr w:type="spell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yatırım harcamalarının gelirler içindeki payı yaklaşık %24 seviyesinde öngörülüyor.</w:t>
      </w:r>
    </w:p>
    <w:p w:rsidR="00EA520E" w:rsidRPr="00EA520E" w:rsidRDefault="00EA520E" w:rsidP="00EA520E">
      <w:pPr>
        <w:spacing w:after="300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Hisse 8,84x F/K ve 0,97x PD/DD piyasa çarpanları ile işlem görmekte. İletişim sektör ortalamaları F/K için 11,09x ve PD/DD için 1,02x seviyelerinde bulunuyor. Açıklanan iyimser bilançonun hisse üzerinde pozitif etki yaratmasını beklemekteyiz. Finansal sonuçlarıyla birlikte şirkete yönelik iyimser beklentimiz sürmekte, 8 Kasım 2023 tarihinde model portföyümüzde yer verdiğimiz TCELL için 153,90 TL hedef seviyemizde herhangi bir </w:t>
      </w:r>
      <w:proofErr w:type="gramStart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revizyon</w:t>
      </w:r>
      <w:proofErr w:type="gramEnd"/>
      <w:r w:rsidRPr="00EA520E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yapmıyor ve model portföyümüzde tutmaya devam ediyoruz.</w:t>
      </w:r>
    </w:p>
    <w:p w:rsidR="00376999" w:rsidRDefault="00376999"/>
    <w:sectPr w:rsidR="003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0E"/>
    <w:rsid w:val="00376999"/>
    <w:rsid w:val="009A1A1C"/>
    <w:rsid w:val="00E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A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52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A52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A520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A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52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A52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A520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7213">
          <w:marLeft w:val="0"/>
          <w:marRight w:val="0"/>
          <w:marTop w:val="0"/>
          <w:marBottom w:val="300"/>
          <w:divBdr>
            <w:top w:val="single" w:sz="6" w:space="19" w:color="E4E9F2"/>
            <w:left w:val="none" w:sz="0" w:space="26" w:color="auto"/>
            <w:bottom w:val="single" w:sz="6" w:space="19" w:color="E4E9F2"/>
            <w:right w:val="none" w:sz="0" w:space="26" w:color="auto"/>
          </w:divBdr>
          <w:divsChild>
            <w:div w:id="1037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9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ÖMER FARUK ÖZTÜRK</cp:lastModifiedBy>
  <cp:revision>3</cp:revision>
  <dcterms:created xsi:type="dcterms:W3CDTF">2025-05-12T07:53:00Z</dcterms:created>
  <dcterms:modified xsi:type="dcterms:W3CDTF">2025-05-12T08:00:00Z</dcterms:modified>
</cp:coreProperties>
</file>