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D2" w:rsidRPr="009D61D2" w:rsidRDefault="009D61D2" w:rsidP="009D61D2">
      <w:pPr>
        <w:spacing w:after="225" w:line="240" w:lineRule="auto"/>
        <w:ind w:left="150" w:right="150"/>
        <w:textAlignment w:val="baseline"/>
        <w:rPr>
          <w:rFonts w:ascii="Arial" w:eastAsia="Times New Roman" w:hAnsi="Arial" w:cs="Arial"/>
          <w:color w:val="000000"/>
          <w:spacing w:val="-1"/>
          <w:sz w:val="24"/>
          <w:szCs w:val="24"/>
          <w:lang w:eastAsia="tr-TR"/>
        </w:rPr>
      </w:pPr>
      <w:r w:rsidRPr="009D61D2">
        <w:rPr>
          <w:rFonts w:ascii="Arial" w:eastAsia="Times New Roman" w:hAnsi="Arial" w:cs="Arial"/>
          <w:noProof/>
          <w:color w:val="000000"/>
          <w:spacing w:val="-1"/>
          <w:sz w:val="24"/>
          <w:szCs w:val="24"/>
          <w:lang w:eastAsia="tr-TR"/>
        </w:rPr>
        <w:drawing>
          <wp:inline distT="0" distB="0" distL="0" distR="0" wp14:anchorId="45BEE154" wp14:editId="2BE5F779">
            <wp:extent cx="10309860" cy="5097780"/>
            <wp:effectExtent l="0" t="0" r="0" b="7620"/>
            <wp:docPr id="1" name="Resim 1" descr="https://www.gcmyatirim.com.tr/wp-content/uploads/2024/08/06/tuprs2c24-finansal_1722923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4/08/06/tuprs2c24-finansal_172292364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9860" cy="5097780"/>
                    </a:xfrm>
                    <a:prstGeom prst="rect">
                      <a:avLst/>
                    </a:prstGeom>
                    <a:noFill/>
                    <a:ln>
                      <a:noFill/>
                    </a:ln>
                  </pic:spPr>
                </pic:pic>
              </a:graphicData>
            </a:graphic>
          </wp:inline>
        </w:drawing>
      </w:r>
    </w:p>
    <w:p w:rsidR="009D61D2" w:rsidRPr="009D61D2" w:rsidRDefault="009D61D2" w:rsidP="009D61D2">
      <w:pPr>
        <w:spacing w:after="0" w:line="240" w:lineRule="auto"/>
        <w:ind w:left="150" w:right="150"/>
        <w:textAlignment w:val="baseline"/>
        <w:rPr>
          <w:rFonts w:ascii="Arial" w:eastAsia="Times New Roman" w:hAnsi="Arial" w:cs="Arial"/>
          <w:color w:val="000000"/>
          <w:spacing w:val="-1"/>
          <w:sz w:val="24"/>
          <w:szCs w:val="24"/>
          <w:lang w:eastAsia="tr-TR"/>
        </w:rPr>
      </w:pPr>
      <w:proofErr w:type="spellStart"/>
      <w:r w:rsidRPr="009D61D2">
        <w:rPr>
          <w:rFonts w:ascii="Arial" w:eastAsia="Times New Roman" w:hAnsi="Arial" w:cs="Arial"/>
          <w:color w:val="000000"/>
          <w:spacing w:val="-1"/>
          <w:sz w:val="24"/>
          <w:szCs w:val="24"/>
          <w:lang w:eastAsia="tr-TR"/>
        </w:rPr>
        <w:t>Tüpraş</w:t>
      </w:r>
      <w:proofErr w:type="spellEnd"/>
      <w:r w:rsidRPr="009D61D2">
        <w:rPr>
          <w:rFonts w:ascii="Arial" w:eastAsia="Times New Roman" w:hAnsi="Arial" w:cs="Arial"/>
          <w:color w:val="000000"/>
          <w:spacing w:val="-1"/>
          <w:sz w:val="24"/>
          <w:szCs w:val="24"/>
          <w:lang w:eastAsia="tr-TR"/>
        </w:rPr>
        <w:t xml:space="preserve"> (</w:t>
      </w:r>
      <w:r w:rsidRPr="009D61D2">
        <w:rPr>
          <w:rFonts w:ascii="inherit" w:eastAsia="Times New Roman" w:hAnsi="inherit" w:cs="Arial"/>
          <w:b/>
          <w:bCs/>
          <w:color w:val="0000FF"/>
          <w:spacing w:val="-1"/>
          <w:sz w:val="24"/>
          <w:szCs w:val="24"/>
          <w:bdr w:val="none" w:sz="0" w:space="0" w:color="auto" w:frame="1"/>
          <w:lang w:eastAsia="tr-TR"/>
        </w:rPr>
        <w:t>TUPRS</w:t>
      </w:r>
      <w:r w:rsidRPr="009D61D2">
        <w:rPr>
          <w:rFonts w:ascii="Arial" w:eastAsia="Times New Roman" w:hAnsi="Arial" w:cs="Arial"/>
          <w:color w:val="000000"/>
          <w:spacing w:val="-1"/>
          <w:sz w:val="24"/>
          <w:szCs w:val="24"/>
          <w:lang w:eastAsia="tr-TR"/>
        </w:rPr>
        <w:t xml:space="preserve">) 2Ç24'de beklentilerin çok üzerinde 5,004mn TL net kâr açıkladı. Beklentiler 3.511 milyon TL seviyesindeydi. Net kâr geçen yıl aynı döneme göre yıllık -46.47% düşüş gösterdi. Net kâr </w:t>
      </w:r>
      <w:proofErr w:type="gramStart"/>
      <w:r w:rsidRPr="009D61D2">
        <w:rPr>
          <w:rFonts w:ascii="Arial" w:eastAsia="Times New Roman" w:hAnsi="Arial" w:cs="Arial"/>
          <w:color w:val="000000"/>
          <w:spacing w:val="-1"/>
          <w:sz w:val="24"/>
          <w:szCs w:val="24"/>
          <w:lang w:eastAsia="tr-TR"/>
        </w:rPr>
        <w:t>marjı</w:t>
      </w:r>
      <w:proofErr w:type="gramEnd"/>
      <w:r w:rsidRPr="009D61D2">
        <w:rPr>
          <w:rFonts w:ascii="Arial" w:eastAsia="Times New Roman" w:hAnsi="Arial" w:cs="Arial"/>
          <w:color w:val="000000"/>
          <w:spacing w:val="-1"/>
          <w:sz w:val="24"/>
          <w:szCs w:val="24"/>
          <w:lang w:eastAsia="tr-TR"/>
        </w:rPr>
        <w:t xml:space="preserve"> 2Ç24'de 2.62% olurken, önceki çeyrekte 0.19% ve geçen yıl aynı çeyrekte 5.09% olmuştu.        Net kardaki yıllık düşüşte vergi etkili oldu. Vergi öncesi kar sadece %4 daralırken, vergi etkisiyle net karda %46.4 düşüş oluştu. RUP periyodik bakım, ürün </w:t>
      </w:r>
      <w:proofErr w:type="gramStart"/>
      <w:r w:rsidRPr="009D61D2">
        <w:rPr>
          <w:rFonts w:ascii="Arial" w:eastAsia="Times New Roman" w:hAnsi="Arial" w:cs="Arial"/>
          <w:color w:val="000000"/>
          <w:spacing w:val="-1"/>
          <w:sz w:val="24"/>
          <w:szCs w:val="24"/>
          <w:lang w:eastAsia="tr-TR"/>
        </w:rPr>
        <w:t>marjı</w:t>
      </w:r>
      <w:proofErr w:type="gramEnd"/>
      <w:r w:rsidRPr="009D61D2">
        <w:rPr>
          <w:rFonts w:ascii="Arial" w:eastAsia="Times New Roman" w:hAnsi="Arial" w:cs="Arial"/>
          <w:color w:val="000000"/>
          <w:spacing w:val="-1"/>
          <w:sz w:val="24"/>
          <w:szCs w:val="24"/>
          <w:lang w:eastAsia="tr-TR"/>
        </w:rPr>
        <w:t xml:space="preserve"> ve ham petrol fiyat farkı vergi öncesi kar üzerinde baskı yaratırken, satış artışı, enerji maliyetlerindeki azalma, Stok ve </w:t>
      </w:r>
      <w:proofErr w:type="spellStart"/>
      <w:r w:rsidRPr="009D61D2">
        <w:rPr>
          <w:rFonts w:ascii="Arial" w:eastAsia="Times New Roman" w:hAnsi="Arial" w:cs="Arial"/>
          <w:color w:val="000000"/>
          <w:spacing w:val="-1"/>
          <w:sz w:val="24"/>
          <w:szCs w:val="24"/>
          <w:lang w:eastAsia="tr-TR"/>
        </w:rPr>
        <w:t>fx</w:t>
      </w:r>
      <w:proofErr w:type="spellEnd"/>
      <w:r w:rsidRPr="009D61D2">
        <w:rPr>
          <w:rFonts w:ascii="Arial" w:eastAsia="Times New Roman" w:hAnsi="Arial" w:cs="Arial"/>
          <w:color w:val="000000"/>
          <w:spacing w:val="-1"/>
          <w:sz w:val="24"/>
          <w:szCs w:val="24"/>
          <w:lang w:eastAsia="tr-TR"/>
        </w:rPr>
        <w:t xml:space="preserve"> etkisi ile net faiz gelirleri vergi öncesi karı destekledi ve düşüşü %4 seviyesinde sınırlı tuttu. </w:t>
      </w:r>
    </w:p>
    <w:p w:rsidR="009D61D2" w:rsidRPr="009D61D2" w:rsidRDefault="009D61D2" w:rsidP="009D61D2">
      <w:pPr>
        <w:spacing w:after="225" w:line="240" w:lineRule="auto"/>
        <w:ind w:left="150" w:right="150"/>
        <w:textAlignment w:val="baseline"/>
        <w:rPr>
          <w:rFonts w:ascii="Arial" w:eastAsia="Times New Roman" w:hAnsi="Arial" w:cs="Arial"/>
          <w:color w:val="000000"/>
          <w:spacing w:val="-1"/>
          <w:sz w:val="24"/>
          <w:szCs w:val="24"/>
          <w:lang w:eastAsia="tr-TR"/>
        </w:rPr>
      </w:pPr>
      <w:r w:rsidRPr="009D61D2">
        <w:rPr>
          <w:rFonts w:ascii="Arial" w:eastAsia="Times New Roman" w:hAnsi="Arial" w:cs="Arial"/>
          <w:color w:val="000000"/>
          <w:spacing w:val="-1"/>
          <w:sz w:val="24"/>
          <w:szCs w:val="24"/>
          <w:lang w:eastAsia="tr-TR"/>
        </w:rPr>
        <w:t xml:space="preserve">Satış gelirleri 2Ç24'de 190,716mn TL seviyesinde gerçekleşti.  Satışlar önceki çeyreğe göre 6.32% artarken, geçen yıl aynı döneme göre yıllık -3.24%  küçüldü. Brüt kâr </w:t>
      </w:r>
      <w:proofErr w:type="gramStart"/>
      <w:r w:rsidRPr="009D61D2">
        <w:rPr>
          <w:rFonts w:ascii="Arial" w:eastAsia="Times New Roman" w:hAnsi="Arial" w:cs="Arial"/>
          <w:color w:val="000000"/>
          <w:spacing w:val="-1"/>
          <w:sz w:val="24"/>
          <w:szCs w:val="24"/>
          <w:lang w:eastAsia="tr-TR"/>
        </w:rPr>
        <w:t>marjı</w:t>
      </w:r>
      <w:proofErr w:type="gramEnd"/>
      <w:r w:rsidRPr="009D61D2">
        <w:rPr>
          <w:rFonts w:ascii="Arial" w:eastAsia="Times New Roman" w:hAnsi="Arial" w:cs="Arial"/>
          <w:color w:val="000000"/>
          <w:spacing w:val="-1"/>
          <w:sz w:val="24"/>
          <w:szCs w:val="24"/>
          <w:lang w:eastAsia="tr-TR"/>
        </w:rPr>
        <w:t xml:space="preserve"> 2Ç24'de 9.14% oldu. Önceki çeyrekte 7.96% ve geçen yıl aynı dönem 15.96% olmuştu.</w:t>
      </w:r>
    </w:p>
    <w:p w:rsidR="009D61D2" w:rsidRPr="009D61D2" w:rsidRDefault="009D61D2" w:rsidP="009D61D2">
      <w:pPr>
        <w:spacing w:after="225" w:line="240" w:lineRule="auto"/>
        <w:ind w:left="150" w:right="150"/>
        <w:textAlignment w:val="baseline"/>
        <w:rPr>
          <w:rFonts w:ascii="Arial" w:eastAsia="Times New Roman" w:hAnsi="Arial" w:cs="Arial"/>
          <w:color w:val="000000"/>
          <w:spacing w:val="-1"/>
          <w:sz w:val="24"/>
          <w:szCs w:val="24"/>
          <w:lang w:eastAsia="tr-TR"/>
        </w:rPr>
      </w:pPr>
      <w:r w:rsidRPr="009D61D2">
        <w:rPr>
          <w:rFonts w:ascii="Arial" w:eastAsia="Times New Roman" w:hAnsi="Arial" w:cs="Arial"/>
          <w:color w:val="000000"/>
          <w:spacing w:val="-1"/>
          <w:sz w:val="24"/>
          <w:szCs w:val="24"/>
          <w:lang w:eastAsia="tr-TR"/>
        </w:rPr>
        <w:t xml:space="preserve">TUPRS 2Ç24’de 7.8 milyon ton satış gerçekleştirdi ve yıllık %7 yükseldi. Yurtdışı satışlar 2.2 milyon ton olurken yıllık %56 arttı. Aynı dönemde </w:t>
      </w:r>
      <w:proofErr w:type="spellStart"/>
      <w:r w:rsidRPr="009D61D2">
        <w:rPr>
          <w:rFonts w:ascii="Arial" w:eastAsia="Times New Roman" w:hAnsi="Arial" w:cs="Arial"/>
          <w:color w:val="000000"/>
          <w:spacing w:val="-1"/>
          <w:sz w:val="24"/>
          <w:szCs w:val="24"/>
          <w:lang w:eastAsia="tr-TR"/>
        </w:rPr>
        <w:t>Tüpraş</w:t>
      </w:r>
      <w:proofErr w:type="spellEnd"/>
      <w:r w:rsidRPr="009D61D2">
        <w:rPr>
          <w:rFonts w:ascii="Arial" w:eastAsia="Times New Roman" w:hAnsi="Arial" w:cs="Arial"/>
          <w:color w:val="000000"/>
          <w:spacing w:val="-1"/>
          <w:sz w:val="24"/>
          <w:szCs w:val="24"/>
          <w:lang w:eastAsia="tr-TR"/>
        </w:rPr>
        <w:t xml:space="preserve"> kapasite kullanım oranı %93 seviyesinde olurken, 2Ç23’de %83 seviyesindeydi. RUP bakımına rağmen %93 KKO oldukça pozitif.</w:t>
      </w:r>
    </w:p>
    <w:p w:rsidR="009D61D2" w:rsidRPr="009D61D2" w:rsidRDefault="009D61D2" w:rsidP="009D61D2">
      <w:pPr>
        <w:spacing w:after="225" w:line="240" w:lineRule="auto"/>
        <w:ind w:left="150" w:right="150"/>
        <w:textAlignment w:val="baseline"/>
        <w:rPr>
          <w:rFonts w:ascii="Arial" w:eastAsia="Times New Roman" w:hAnsi="Arial" w:cs="Arial"/>
          <w:color w:val="000000"/>
          <w:spacing w:val="-1"/>
          <w:sz w:val="24"/>
          <w:szCs w:val="24"/>
          <w:lang w:eastAsia="tr-TR"/>
        </w:rPr>
      </w:pPr>
      <w:proofErr w:type="spellStart"/>
      <w:r w:rsidRPr="009D61D2">
        <w:rPr>
          <w:rFonts w:ascii="Arial" w:eastAsia="Times New Roman" w:hAnsi="Arial" w:cs="Arial"/>
          <w:color w:val="000000"/>
          <w:spacing w:val="-1"/>
          <w:sz w:val="24"/>
          <w:szCs w:val="24"/>
          <w:lang w:eastAsia="tr-TR"/>
        </w:rPr>
        <w:t>Favök</w:t>
      </w:r>
      <w:proofErr w:type="spellEnd"/>
      <w:r w:rsidRPr="009D61D2">
        <w:rPr>
          <w:rFonts w:ascii="Arial" w:eastAsia="Times New Roman" w:hAnsi="Arial" w:cs="Arial"/>
          <w:color w:val="000000"/>
          <w:spacing w:val="-1"/>
          <w:sz w:val="24"/>
          <w:szCs w:val="24"/>
          <w:lang w:eastAsia="tr-TR"/>
        </w:rPr>
        <w:t xml:space="preserve"> aynı dönemde 12,997mn TL olurken, yıllık </w:t>
      </w:r>
      <w:proofErr w:type="gramStart"/>
      <w:r w:rsidRPr="009D61D2">
        <w:rPr>
          <w:rFonts w:ascii="Arial" w:eastAsia="Times New Roman" w:hAnsi="Arial" w:cs="Arial"/>
          <w:color w:val="000000"/>
          <w:spacing w:val="-1"/>
          <w:sz w:val="24"/>
          <w:szCs w:val="24"/>
          <w:lang w:eastAsia="tr-TR"/>
        </w:rPr>
        <w:t>bazda</w:t>
      </w:r>
      <w:proofErr w:type="gramEnd"/>
      <w:r w:rsidRPr="009D61D2">
        <w:rPr>
          <w:rFonts w:ascii="Arial" w:eastAsia="Times New Roman" w:hAnsi="Arial" w:cs="Arial"/>
          <w:color w:val="000000"/>
          <w:spacing w:val="-1"/>
          <w:sz w:val="24"/>
          <w:szCs w:val="24"/>
          <w:lang w:eastAsia="tr-TR"/>
        </w:rPr>
        <w:t xml:space="preserve"> -50.22%  azalış gösterdi. Çeyreklik 28.98% büyüdü. </w:t>
      </w:r>
      <w:proofErr w:type="spellStart"/>
      <w:r w:rsidRPr="009D61D2">
        <w:rPr>
          <w:rFonts w:ascii="Arial" w:eastAsia="Times New Roman" w:hAnsi="Arial" w:cs="Arial"/>
          <w:color w:val="000000"/>
          <w:spacing w:val="-1"/>
          <w:sz w:val="24"/>
          <w:szCs w:val="24"/>
          <w:lang w:eastAsia="tr-TR"/>
        </w:rPr>
        <w:t>Favök</w:t>
      </w:r>
      <w:proofErr w:type="spellEnd"/>
      <w:r w:rsidRPr="009D61D2">
        <w:rPr>
          <w:rFonts w:ascii="Arial" w:eastAsia="Times New Roman" w:hAnsi="Arial" w:cs="Arial"/>
          <w:color w:val="000000"/>
          <w:spacing w:val="-1"/>
          <w:sz w:val="24"/>
          <w:szCs w:val="24"/>
          <w:lang w:eastAsia="tr-TR"/>
        </w:rPr>
        <w:t xml:space="preserve"> </w:t>
      </w:r>
      <w:proofErr w:type="gramStart"/>
      <w:r w:rsidRPr="009D61D2">
        <w:rPr>
          <w:rFonts w:ascii="Arial" w:eastAsia="Times New Roman" w:hAnsi="Arial" w:cs="Arial"/>
          <w:color w:val="000000"/>
          <w:spacing w:val="-1"/>
          <w:sz w:val="24"/>
          <w:szCs w:val="24"/>
          <w:lang w:eastAsia="tr-TR"/>
        </w:rPr>
        <w:t>marjı</w:t>
      </w:r>
      <w:proofErr w:type="gramEnd"/>
      <w:r w:rsidRPr="009D61D2">
        <w:rPr>
          <w:rFonts w:ascii="Arial" w:eastAsia="Times New Roman" w:hAnsi="Arial" w:cs="Arial"/>
          <w:color w:val="000000"/>
          <w:spacing w:val="-1"/>
          <w:sz w:val="24"/>
          <w:szCs w:val="24"/>
          <w:lang w:eastAsia="tr-TR"/>
        </w:rPr>
        <w:t xml:space="preserve"> aynı dönemde 6.81% seviyesinde oluştu. </w:t>
      </w:r>
      <w:r w:rsidRPr="009D61D2">
        <w:rPr>
          <w:rFonts w:ascii="Arial" w:eastAsia="Times New Roman" w:hAnsi="Arial" w:cs="Arial"/>
          <w:color w:val="000000"/>
          <w:spacing w:val="-1"/>
          <w:sz w:val="24"/>
          <w:szCs w:val="24"/>
          <w:lang w:eastAsia="tr-TR"/>
        </w:rPr>
        <w:lastRenderedPageBreak/>
        <w:t xml:space="preserve">Önceki çeyrekte 5.62% , geçen yıl aynı dönemde 14.22% olmuştu. </w:t>
      </w:r>
      <w:proofErr w:type="spellStart"/>
      <w:r w:rsidRPr="009D61D2">
        <w:rPr>
          <w:rFonts w:ascii="Arial" w:eastAsia="Times New Roman" w:hAnsi="Arial" w:cs="Arial"/>
          <w:color w:val="000000"/>
          <w:spacing w:val="-1"/>
          <w:sz w:val="24"/>
          <w:szCs w:val="24"/>
          <w:lang w:eastAsia="tr-TR"/>
        </w:rPr>
        <w:t>Favök’deki</w:t>
      </w:r>
      <w:proofErr w:type="spellEnd"/>
      <w:r w:rsidRPr="009D61D2">
        <w:rPr>
          <w:rFonts w:ascii="Arial" w:eastAsia="Times New Roman" w:hAnsi="Arial" w:cs="Arial"/>
          <w:color w:val="000000"/>
          <w:spacing w:val="-1"/>
          <w:sz w:val="24"/>
          <w:szCs w:val="24"/>
          <w:lang w:eastAsia="tr-TR"/>
        </w:rPr>
        <w:t xml:space="preserve"> düşüşte geçen yılın yüksek pozitif stok etkisi </w:t>
      </w:r>
      <w:proofErr w:type="gramStart"/>
      <w:r w:rsidRPr="009D61D2">
        <w:rPr>
          <w:rFonts w:ascii="Arial" w:eastAsia="Times New Roman" w:hAnsi="Arial" w:cs="Arial"/>
          <w:color w:val="000000"/>
          <w:spacing w:val="-1"/>
          <w:sz w:val="24"/>
          <w:szCs w:val="24"/>
          <w:lang w:eastAsia="tr-TR"/>
        </w:rPr>
        <w:t>baz</w:t>
      </w:r>
      <w:proofErr w:type="gramEnd"/>
      <w:r w:rsidRPr="009D61D2">
        <w:rPr>
          <w:rFonts w:ascii="Arial" w:eastAsia="Times New Roman" w:hAnsi="Arial" w:cs="Arial"/>
          <w:color w:val="000000"/>
          <w:spacing w:val="-1"/>
          <w:sz w:val="24"/>
          <w:szCs w:val="24"/>
          <w:lang w:eastAsia="tr-TR"/>
        </w:rPr>
        <w:t xml:space="preserve"> etkisi yaratırken, işletme giderleri etkili oldu.</w:t>
      </w:r>
    </w:p>
    <w:p w:rsidR="009D61D2" w:rsidRPr="009D61D2" w:rsidRDefault="009D61D2" w:rsidP="009D61D2">
      <w:pPr>
        <w:spacing w:after="225" w:line="240" w:lineRule="auto"/>
        <w:ind w:left="150" w:right="150"/>
        <w:textAlignment w:val="baseline"/>
        <w:rPr>
          <w:rFonts w:ascii="Arial" w:eastAsia="Times New Roman" w:hAnsi="Arial" w:cs="Arial"/>
          <w:color w:val="000000"/>
          <w:spacing w:val="-1"/>
          <w:sz w:val="24"/>
          <w:szCs w:val="24"/>
          <w:lang w:eastAsia="tr-TR"/>
        </w:rPr>
      </w:pPr>
      <w:r w:rsidRPr="009D61D2">
        <w:rPr>
          <w:rFonts w:ascii="Arial" w:eastAsia="Times New Roman" w:hAnsi="Arial" w:cs="Arial"/>
          <w:color w:val="000000"/>
          <w:spacing w:val="-1"/>
          <w:sz w:val="24"/>
          <w:szCs w:val="24"/>
          <w:lang w:eastAsia="tr-TR"/>
        </w:rPr>
        <w:t>Şirket'in 2Ç24'deki ihracat oranı 21.64% seviyesinde oldu. Geçen yıl aynı dönemde 22.16% seviyesinde gerçekleşmişti.               </w:t>
      </w:r>
    </w:p>
    <w:p w:rsidR="009D61D2" w:rsidRPr="009D61D2" w:rsidRDefault="009D61D2" w:rsidP="009D61D2">
      <w:pPr>
        <w:spacing w:after="0" w:line="360" w:lineRule="atLeast"/>
        <w:ind w:left="150" w:right="150"/>
        <w:textAlignment w:val="baseline"/>
        <w:outlineLvl w:val="1"/>
        <w:rPr>
          <w:rFonts w:ascii="Arial" w:eastAsia="Times New Roman" w:hAnsi="Arial" w:cs="Arial"/>
          <w:b/>
          <w:bCs/>
          <w:color w:val="0A4975"/>
          <w:spacing w:val="-1"/>
          <w:sz w:val="27"/>
          <w:szCs w:val="27"/>
          <w:lang w:eastAsia="tr-TR"/>
        </w:rPr>
      </w:pPr>
      <w:r w:rsidRPr="009D61D2">
        <w:rPr>
          <w:rFonts w:ascii="inherit" w:eastAsia="Times New Roman" w:hAnsi="inherit" w:cs="Arial"/>
          <w:b/>
          <w:bCs/>
          <w:color w:val="0A4975"/>
          <w:spacing w:val="-1"/>
          <w:sz w:val="27"/>
          <w:szCs w:val="27"/>
          <w:bdr w:val="none" w:sz="0" w:space="0" w:color="auto" w:frame="1"/>
          <w:lang w:eastAsia="tr-TR"/>
        </w:rPr>
        <w:t>2024 Beklentileri</w:t>
      </w:r>
    </w:p>
    <w:p w:rsidR="009D61D2" w:rsidRPr="009D61D2" w:rsidRDefault="009D61D2" w:rsidP="009D61D2">
      <w:pPr>
        <w:spacing w:after="225" w:line="240" w:lineRule="auto"/>
        <w:ind w:left="150" w:right="150"/>
        <w:textAlignment w:val="baseline"/>
        <w:rPr>
          <w:rFonts w:ascii="Arial" w:eastAsia="Times New Roman" w:hAnsi="Arial" w:cs="Arial"/>
          <w:color w:val="000000"/>
          <w:spacing w:val="-1"/>
          <w:sz w:val="24"/>
          <w:szCs w:val="24"/>
          <w:lang w:eastAsia="tr-TR"/>
        </w:rPr>
      </w:pPr>
      <w:r w:rsidRPr="009D61D2">
        <w:rPr>
          <w:rFonts w:ascii="Arial" w:eastAsia="Times New Roman" w:hAnsi="Arial" w:cs="Arial"/>
          <w:color w:val="000000"/>
          <w:spacing w:val="-1"/>
          <w:sz w:val="24"/>
          <w:szCs w:val="24"/>
          <w:lang w:eastAsia="tr-TR"/>
        </w:rPr>
        <w:t xml:space="preserve">TUPRS 2024 </w:t>
      </w:r>
      <w:proofErr w:type="gramStart"/>
      <w:r w:rsidRPr="009D61D2">
        <w:rPr>
          <w:rFonts w:ascii="Arial" w:eastAsia="Times New Roman" w:hAnsi="Arial" w:cs="Arial"/>
          <w:color w:val="000000"/>
          <w:spacing w:val="-1"/>
          <w:sz w:val="24"/>
          <w:szCs w:val="24"/>
          <w:lang w:eastAsia="tr-TR"/>
        </w:rPr>
        <w:t>yıl sonu</w:t>
      </w:r>
      <w:proofErr w:type="gramEnd"/>
      <w:r w:rsidRPr="009D61D2">
        <w:rPr>
          <w:rFonts w:ascii="Arial" w:eastAsia="Times New Roman" w:hAnsi="Arial" w:cs="Arial"/>
          <w:color w:val="000000"/>
          <w:spacing w:val="-1"/>
          <w:sz w:val="24"/>
          <w:szCs w:val="24"/>
          <w:lang w:eastAsia="tr-TR"/>
        </w:rPr>
        <w:t xml:space="preserve"> beklentilerinde ürün marjı ve yatırım planlaması dışında değişikliğe gitmedi. Ürün </w:t>
      </w:r>
      <w:proofErr w:type="gramStart"/>
      <w:r w:rsidRPr="009D61D2">
        <w:rPr>
          <w:rFonts w:ascii="Arial" w:eastAsia="Times New Roman" w:hAnsi="Arial" w:cs="Arial"/>
          <w:color w:val="000000"/>
          <w:spacing w:val="-1"/>
          <w:sz w:val="24"/>
          <w:szCs w:val="24"/>
          <w:lang w:eastAsia="tr-TR"/>
        </w:rPr>
        <w:t>marjı</w:t>
      </w:r>
      <w:proofErr w:type="gramEnd"/>
      <w:r w:rsidRPr="009D61D2">
        <w:rPr>
          <w:rFonts w:ascii="Arial" w:eastAsia="Times New Roman" w:hAnsi="Arial" w:cs="Arial"/>
          <w:color w:val="000000"/>
          <w:spacing w:val="-1"/>
          <w:sz w:val="24"/>
          <w:szCs w:val="24"/>
          <w:lang w:eastAsia="tr-TR"/>
        </w:rPr>
        <w:t xml:space="preserve"> beklentisini 14$/v’den 12$/v seviyesine çekti. Yatırım planlamasını ise 500mn$’dan 400mn$ seviyesine düşürdü. </w:t>
      </w:r>
      <w:proofErr w:type="spellStart"/>
      <w:r w:rsidRPr="009D61D2">
        <w:rPr>
          <w:rFonts w:ascii="Arial" w:eastAsia="Times New Roman" w:hAnsi="Arial" w:cs="Arial"/>
          <w:color w:val="000000"/>
          <w:spacing w:val="-1"/>
          <w:sz w:val="24"/>
          <w:szCs w:val="24"/>
          <w:lang w:eastAsia="tr-TR"/>
        </w:rPr>
        <w:t>Kapsite</w:t>
      </w:r>
      <w:proofErr w:type="spellEnd"/>
      <w:r w:rsidRPr="009D61D2">
        <w:rPr>
          <w:rFonts w:ascii="Arial" w:eastAsia="Times New Roman" w:hAnsi="Arial" w:cs="Arial"/>
          <w:color w:val="000000"/>
          <w:spacing w:val="-1"/>
          <w:sz w:val="24"/>
          <w:szCs w:val="24"/>
          <w:lang w:eastAsia="tr-TR"/>
        </w:rPr>
        <w:t xml:space="preserve"> kullanım oranı beklentisini %85-90 seviyesinde, Toplam üretim beklentisini 26 </w:t>
      </w:r>
      <w:proofErr w:type="spellStart"/>
      <w:r w:rsidRPr="009D61D2">
        <w:rPr>
          <w:rFonts w:ascii="Arial" w:eastAsia="Times New Roman" w:hAnsi="Arial" w:cs="Arial"/>
          <w:color w:val="000000"/>
          <w:spacing w:val="-1"/>
          <w:sz w:val="24"/>
          <w:szCs w:val="24"/>
          <w:lang w:eastAsia="tr-TR"/>
        </w:rPr>
        <w:t>mn</w:t>
      </w:r>
      <w:proofErr w:type="spellEnd"/>
      <w:r w:rsidRPr="009D61D2">
        <w:rPr>
          <w:rFonts w:ascii="Arial" w:eastAsia="Times New Roman" w:hAnsi="Arial" w:cs="Arial"/>
          <w:color w:val="000000"/>
          <w:spacing w:val="-1"/>
          <w:sz w:val="24"/>
          <w:szCs w:val="24"/>
          <w:lang w:eastAsia="tr-TR"/>
        </w:rPr>
        <w:t xml:space="preserve"> ton ve Toplam Satış beklentisini 30 </w:t>
      </w:r>
      <w:proofErr w:type="spellStart"/>
      <w:r w:rsidRPr="009D61D2">
        <w:rPr>
          <w:rFonts w:ascii="Arial" w:eastAsia="Times New Roman" w:hAnsi="Arial" w:cs="Arial"/>
          <w:color w:val="000000"/>
          <w:spacing w:val="-1"/>
          <w:sz w:val="24"/>
          <w:szCs w:val="24"/>
          <w:lang w:eastAsia="tr-TR"/>
        </w:rPr>
        <w:t>mn</w:t>
      </w:r>
      <w:proofErr w:type="spellEnd"/>
      <w:r w:rsidRPr="009D61D2">
        <w:rPr>
          <w:rFonts w:ascii="Arial" w:eastAsia="Times New Roman" w:hAnsi="Arial" w:cs="Arial"/>
          <w:color w:val="000000"/>
          <w:spacing w:val="-1"/>
          <w:sz w:val="24"/>
          <w:szCs w:val="24"/>
          <w:lang w:eastAsia="tr-TR"/>
        </w:rPr>
        <w:t xml:space="preserve"> ton seviyesinde korudu.</w:t>
      </w:r>
    </w:p>
    <w:p w:rsidR="009D61D2" w:rsidRPr="009D61D2" w:rsidRDefault="009D61D2" w:rsidP="009D61D2">
      <w:pPr>
        <w:spacing w:after="0" w:line="360" w:lineRule="atLeast"/>
        <w:ind w:left="150" w:right="150"/>
        <w:textAlignment w:val="baseline"/>
        <w:outlineLvl w:val="1"/>
        <w:rPr>
          <w:rFonts w:ascii="Arial" w:eastAsia="Times New Roman" w:hAnsi="Arial" w:cs="Arial"/>
          <w:b/>
          <w:bCs/>
          <w:color w:val="0A4975"/>
          <w:spacing w:val="-1"/>
          <w:sz w:val="27"/>
          <w:szCs w:val="27"/>
          <w:lang w:eastAsia="tr-TR"/>
        </w:rPr>
      </w:pPr>
      <w:r w:rsidRPr="009D61D2">
        <w:rPr>
          <w:rFonts w:ascii="inherit" w:eastAsia="Times New Roman" w:hAnsi="inherit" w:cs="Arial"/>
          <w:b/>
          <w:bCs/>
          <w:color w:val="0A4975"/>
          <w:spacing w:val="-1"/>
          <w:sz w:val="27"/>
          <w:szCs w:val="27"/>
          <w:bdr w:val="none" w:sz="0" w:space="0" w:color="auto" w:frame="1"/>
          <w:lang w:eastAsia="tr-TR"/>
        </w:rPr>
        <w:t>İkinci temettü Ödemesi Açıkladı</w:t>
      </w:r>
    </w:p>
    <w:p w:rsidR="009D61D2" w:rsidRPr="009D61D2" w:rsidRDefault="009D61D2" w:rsidP="009D61D2">
      <w:pPr>
        <w:spacing w:after="225" w:line="240" w:lineRule="auto"/>
        <w:ind w:left="150" w:right="150"/>
        <w:textAlignment w:val="baseline"/>
        <w:rPr>
          <w:rFonts w:ascii="Arial" w:eastAsia="Times New Roman" w:hAnsi="Arial" w:cs="Arial"/>
          <w:color w:val="000000"/>
          <w:spacing w:val="-1"/>
          <w:sz w:val="24"/>
          <w:szCs w:val="24"/>
          <w:lang w:eastAsia="tr-TR"/>
        </w:rPr>
      </w:pPr>
      <w:r w:rsidRPr="009D61D2">
        <w:rPr>
          <w:rFonts w:ascii="Arial" w:eastAsia="Times New Roman" w:hAnsi="Arial" w:cs="Arial"/>
          <w:color w:val="000000"/>
          <w:spacing w:val="-1"/>
          <w:sz w:val="24"/>
          <w:szCs w:val="24"/>
          <w:lang w:eastAsia="tr-TR"/>
        </w:rPr>
        <w:t>TUPRS ayrıca hisse başı brüt 11.9369TL ve net 10.7432TL nakit temettü ödemesi açıkladı. Ödeme tarihi 27 Eylül 2024 olarak açıklandı. Son kapanışa göre temettü verimi %6.99 seviyesine karşılık geliyor. Temettü açıklaması piyasadaki zayıf seyir nedeni ile hissede oluşacak düşüşlerde yastık etkisi göstermesi beklenebilir.</w:t>
      </w:r>
    </w:p>
    <w:p w:rsidR="009D61D2" w:rsidRPr="009D61D2" w:rsidRDefault="009D61D2" w:rsidP="009D61D2">
      <w:pPr>
        <w:spacing w:after="300" w:line="240" w:lineRule="auto"/>
        <w:ind w:left="150" w:right="150"/>
        <w:textAlignment w:val="baseline"/>
        <w:rPr>
          <w:rFonts w:ascii="Arial" w:eastAsia="Times New Roman" w:hAnsi="Arial" w:cs="Arial"/>
          <w:color w:val="000000"/>
          <w:spacing w:val="-1"/>
          <w:sz w:val="24"/>
          <w:szCs w:val="24"/>
          <w:lang w:eastAsia="tr-TR"/>
        </w:rPr>
      </w:pPr>
      <w:bookmarkStart w:id="0" w:name="_GoBack"/>
      <w:r w:rsidRPr="009D61D2">
        <w:rPr>
          <w:rFonts w:ascii="Arial" w:eastAsia="Times New Roman" w:hAnsi="Arial" w:cs="Arial"/>
          <w:color w:val="000000"/>
          <w:spacing w:val="-1"/>
          <w:sz w:val="24"/>
          <w:szCs w:val="24"/>
          <w:lang w:eastAsia="tr-TR"/>
        </w:rPr>
        <w:t xml:space="preserve">Açıklanan sonuçları pozitif karşılıyoruz. Beklenti üzeri kar açıklaması ve temettü haberi hissede pozitif katkılar sağlayacaktır. İNA modelimizdeki güncelleme sonucunda TUPRS için hedef fiyatımızı 248TL’den 228TL seviyesine bir miktar aşağı yönlü revize ediyoruz. Bunda azalan nakit değerlerin etkisi bulunuyor. Son kapanışa göre hissenin %48 yükseliş potansiyeli bulunuyor. </w:t>
      </w:r>
      <w:proofErr w:type="spellStart"/>
      <w:r w:rsidRPr="009D61D2">
        <w:rPr>
          <w:rFonts w:ascii="Arial" w:eastAsia="Times New Roman" w:hAnsi="Arial" w:cs="Arial"/>
          <w:color w:val="000000"/>
          <w:spacing w:val="-1"/>
          <w:sz w:val="24"/>
          <w:szCs w:val="24"/>
          <w:lang w:eastAsia="tr-TR"/>
        </w:rPr>
        <w:t>Tüpraş’ı</w:t>
      </w:r>
      <w:proofErr w:type="spellEnd"/>
      <w:r w:rsidRPr="009D61D2">
        <w:rPr>
          <w:rFonts w:ascii="Arial" w:eastAsia="Times New Roman" w:hAnsi="Arial" w:cs="Arial"/>
          <w:color w:val="000000"/>
          <w:spacing w:val="-1"/>
          <w:sz w:val="24"/>
          <w:szCs w:val="24"/>
          <w:lang w:eastAsia="tr-TR"/>
        </w:rPr>
        <w:t xml:space="preserve"> Model Portföyümüzde tutmaya devam ediyoruz. RUP yatırımının bitmesi ile ikinci yarıda daha güçlü sonuçlar bekliyoruz.</w:t>
      </w:r>
    </w:p>
    <w:bookmarkEnd w:id="0"/>
    <w:p w:rsidR="00920633" w:rsidRDefault="00920633"/>
    <w:sectPr w:rsidR="00920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D2"/>
    <w:rsid w:val="00920633"/>
    <w:rsid w:val="009D61D2"/>
    <w:rsid w:val="00C121A5"/>
    <w:rsid w:val="00E771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71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7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71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7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Ömer Faruk Öztürk</cp:lastModifiedBy>
  <cp:revision>4</cp:revision>
  <dcterms:created xsi:type="dcterms:W3CDTF">2024-08-06T10:26:00Z</dcterms:created>
  <dcterms:modified xsi:type="dcterms:W3CDTF">2024-08-06T11:12:00Z</dcterms:modified>
</cp:coreProperties>
</file>