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B68" w:rsidRPr="00FA4B68" w:rsidRDefault="00FA4B68" w:rsidP="00FA4B68">
      <w:pPr>
        <w:spacing w:after="0" w:line="240" w:lineRule="auto"/>
        <w:rPr>
          <w:rFonts w:ascii="Times New Roman" w:eastAsia="Times New Roman" w:hAnsi="Times New Roman" w:cs="Times New Roman"/>
          <w:sz w:val="24"/>
          <w:szCs w:val="24"/>
          <w:lang w:eastAsia="tr-TR"/>
        </w:rPr>
      </w:pPr>
      <w:r w:rsidRPr="00FA4B68">
        <w:rPr>
          <w:rFonts w:ascii="Times New Roman" w:eastAsia="Times New Roman" w:hAnsi="Times New Roman" w:cs="Times New Roman"/>
          <w:sz w:val="24"/>
          <w:szCs w:val="24"/>
          <w:lang w:eastAsia="tr-TR"/>
        </w:rPr>
        <w:t>HSBC’nin Türkiye 1Ç26 görünüm raporunu özetleyecek olursak, banka dışı şirketlerde enflasyon muhasebesine rağmen reel kâr büyümesi yaklaşık %4 seviyesinde beklenirken, bankacılık sektöründe kârların yıllık bazda %14 artması öngörülüyor. Raporlama dönemi başlamış olup bankalar için son tarih 30 Nisan.</w:t>
      </w:r>
    </w:p>
    <w:p w:rsidR="00FA4B68" w:rsidRPr="00FA4B68" w:rsidRDefault="00FA4B68" w:rsidP="00FA4B68">
      <w:pPr>
        <w:spacing w:after="0" w:line="240" w:lineRule="auto"/>
        <w:rPr>
          <w:rFonts w:ascii="Times New Roman" w:eastAsia="Times New Roman" w:hAnsi="Times New Roman" w:cs="Times New Roman"/>
          <w:sz w:val="24"/>
          <w:szCs w:val="24"/>
          <w:lang w:eastAsia="tr-TR"/>
        </w:rPr>
      </w:pPr>
      <w:r w:rsidRPr="00FA4B68">
        <w:rPr>
          <w:rFonts w:ascii="Times New Roman" w:eastAsia="Times New Roman" w:hAnsi="Times New Roman" w:cs="Times New Roman"/>
          <w:sz w:val="24"/>
          <w:szCs w:val="24"/>
          <w:lang w:eastAsia="tr-TR"/>
        </w:rPr>
        <w:t> </w:t>
      </w:r>
    </w:p>
    <w:p w:rsidR="00FA4B68" w:rsidRPr="00FA4B68" w:rsidRDefault="00FA4B68" w:rsidP="00FA4B68">
      <w:pPr>
        <w:spacing w:after="0" w:line="240" w:lineRule="auto"/>
        <w:rPr>
          <w:rFonts w:ascii="Times New Roman" w:eastAsia="Times New Roman" w:hAnsi="Times New Roman" w:cs="Times New Roman"/>
          <w:sz w:val="24"/>
          <w:szCs w:val="24"/>
          <w:lang w:eastAsia="tr-TR"/>
        </w:rPr>
      </w:pPr>
      <w:r w:rsidRPr="00FA4B68">
        <w:rPr>
          <w:rFonts w:ascii="Times New Roman" w:eastAsia="Times New Roman" w:hAnsi="Times New Roman" w:cs="Times New Roman"/>
          <w:sz w:val="24"/>
          <w:szCs w:val="24"/>
          <w:lang w:eastAsia="tr-TR"/>
        </w:rPr>
        <w:t>Reel sektörde ASELS, ASTOR, BIM, Coca-Cola İçecek, Enerjisa, ENKA, Tofaş ve Turkcell’in reel pozitif ayrışması bekleniyor. USD veya EUR bazlı gelir elde eden şirketler enflasyon muhasebesinden daha sınırlı etkilenerek daha güçlü performans sergiliyor. Gıda perakendecilerinde (BIM, Coca-Cola İçecek) gelir büyümesi devam etse de artan promosyonlar ve ücret baskısı marjları sınırlayabilir. Buna karşılık Mavi ve Ülker tarafında hacim ve kârlılıkta zayıflama, dolayısıyla net kârda daralma öngörülüyor. Otomotiv ve havacılık tarafında ise (Tofaş hariç) daha zayıf bir yıllık performans beklentisi bulunuyor.</w:t>
      </w:r>
    </w:p>
    <w:p w:rsidR="00FA4B68" w:rsidRPr="00FA4B68" w:rsidRDefault="00FA4B68" w:rsidP="00FA4B68">
      <w:pPr>
        <w:spacing w:after="0" w:line="240" w:lineRule="auto"/>
        <w:rPr>
          <w:rFonts w:ascii="Times New Roman" w:eastAsia="Times New Roman" w:hAnsi="Times New Roman" w:cs="Times New Roman"/>
          <w:sz w:val="24"/>
          <w:szCs w:val="24"/>
          <w:lang w:eastAsia="tr-TR"/>
        </w:rPr>
      </w:pPr>
      <w:r w:rsidRPr="00FA4B68">
        <w:rPr>
          <w:rFonts w:ascii="Times New Roman" w:eastAsia="Times New Roman" w:hAnsi="Times New Roman" w:cs="Times New Roman"/>
          <w:sz w:val="24"/>
          <w:szCs w:val="24"/>
          <w:lang w:eastAsia="tr-TR"/>
        </w:rPr>
        <w:t> </w:t>
      </w:r>
    </w:p>
    <w:p w:rsidR="00FA4B68" w:rsidRPr="00FA4B68" w:rsidRDefault="00FA4B68" w:rsidP="00FA4B68">
      <w:pPr>
        <w:spacing w:after="0" w:line="240" w:lineRule="auto"/>
        <w:rPr>
          <w:rFonts w:ascii="Times New Roman" w:eastAsia="Times New Roman" w:hAnsi="Times New Roman" w:cs="Times New Roman"/>
          <w:sz w:val="24"/>
          <w:szCs w:val="24"/>
          <w:lang w:eastAsia="tr-TR"/>
        </w:rPr>
      </w:pPr>
      <w:r w:rsidRPr="00FA4B68">
        <w:rPr>
          <w:rFonts w:ascii="Times New Roman" w:eastAsia="Times New Roman" w:hAnsi="Times New Roman" w:cs="Times New Roman"/>
          <w:sz w:val="24"/>
          <w:szCs w:val="24"/>
          <w:lang w:eastAsia="tr-TR"/>
        </w:rPr>
        <w:t>Bankacılık tarafında net faiz gelirleri yılın başında güçlü seyrederken çeyrek sonuna doğru ivme kaybı gözleniyor. Ücret ve komisyon gelirleri artış eğiliminde, ticari gelirlerde ise toparlanma bekleniyor. Buna karşın faaliyet giderleri ve karşılık giderlerindeki artış kârlılığı baskılayan unsurlar arasında. Sermaye yeterlilik rasyoları operasyonel düzenlemeler nedeniyle yakından izleniyor. Yapı Kredi’nin güçlü net faiz geliri ve düşük baz etkisiyle en yüksek kâr büyümesini göstermesi beklenirken, İş Bankası’nda diğer gelirlerde normalleşme ve gider artışı nedeniyle çeyreklik bazda kâr daralması öngörülüyor.</w:t>
      </w:r>
    </w:p>
    <w:p w:rsidR="00FA4B68" w:rsidRPr="00FA4B68" w:rsidRDefault="00FA4B68" w:rsidP="00FA4B68">
      <w:pPr>
        <w:spacing w:after="0" w:line="240" w:lineRule="auto"/>
        <w:rPr>
          <w:rFonts w:ascii="Times New Roman" w:eastAsia="Times New Roman" w:hAnsi="Times New Roman" w:cs="Times New Roman"/>
          <w:sz w:val="24"/>
          <w:szCs w:val="24"/>
          <w:lang w:eastAsia="tr-TR"/>
        </w:rPr>
      </w:pPr>
      <w:r w:rsidRPr="00FA4B68">
        <w:rPr>
          <w:rFonts w:ascii="Times New Roman" w:eastAsia="Times New Roman" w:hAnsi="Times New Roman" w:cs="Times New Roman"/>
          <w:sz w:val="24"/>
          <w:szCs w:val="24"/>
          <w:lang w:eastAsia="tr-TR"/>
        </w:rPr>
        <w:t> </w:t>
      </w:r>
    </w:p>
    <w:p w:rsidR="00FA4B68" w:rsidRPr="00FA4B68" w:rsidRDefault="00FA4B68" w:rsidP="00FA4B68">
      <w:pPr>
        <w:spacing w:after="0" w:line="240" w:lineRule="auto"/>
        <w:rPr>
          <w:rFonts w:ascii="Times New Roman" w:eastAsia="Times New Roman" w:hAnsi="Times New Roman" w:cs="Times New Roman"/>
          <w:sz w:val="24"/>
          <w:szCs w:val="24"/>
          <w:lang w:eastAsia="tr-TR"/>
        </w:rPr>
      </w:pPr>
      <w:r w:rsidRPr="00FA4B68">
        <w:rPr>
          <w:rFonts w:ascii="Times New Roman" w:eastAsia="Times New Roman" w:hAnsi="Times New Roman" w:cs="Times New Roman"/>
          <w:sz w:val="24"/>
          <w:szCs w:val="24"/>
          <w:lang w:eastAsia="tr-TR"/>
        </w:rPr>
        <w:t>Makro tarafta yaklaşık %31 seviyesindeki yıllık enflasyon ve yüksek çeyreklik enflasyon finansallar üzerinde belirleyici olmaya devam ediyor. TL’nin döviz karşısındaki değer kaybı, döviz geliri yüksek şirketleri desteklerken, faiz ortamı bankaları desteklese de bu etkinin çeyrek sonuna doğru zayıfladığı görülüyor.</w:t>
      </w:r>
    </w:p>
    <w:p w:rsidR="0088725A" w:rsidRDefault="0088725A">
      <w:bookmarkStart w:id="0" w:name="_GoBack"/>
      <w:bookmarkEnd w:id="0"/>
    </w:p>
    <w:sectPr w:rsidR="008872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716"/>
    <w:rsid w:val="001E1716"/>
    <w:rsid w:val="0088725A"/>
    <w:rsid w:val="00FA4B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867352">
      <w:bodyDiv w:val="1"/>
      <w:marLeft w:val="0"/>
      <w:marRight w:val="0"/>
      <w:marTop w:val="0"/>
      <w:marBottom w:val="0"/>
      <w:divBdr>
        <w:top w:val="none" w:sz="0" w:space="0" w:color="auto"/>
        <w:left w:val="none" w:sz="0" w:space="0" w:color="auto"/>
        <w:bottom w:val="none" w:sz="0" w:space="0" w:color="auto"/>
        <w:right w:val="none" w:sz="0" w:space="0" w:color="auto"/>
      </w:divBdr>
      <w:divsChild>
        <w:div w:id="2083015491">
          <w:marLeft w:val="0"/>
          <w:marRight w:val="0"/>
          <w:marTop w:val="0"/>
          <w:marBottom w:val="0"/>
          <w:divBdr>
            <w:top w:val="none" w:sz="0" w:space="0" w:color="auto"/>
            <w:left w:val="none" w:sz="0" w:space="0" w:color="auto"/>
            <w:bottom w:val="none" w:sz="0" w:space="0" w:color="auto"/>
            <w:right w:val="none" w:sz="0" w:space="0" w:color="auto"/>
          </w:divBdr>
        </w:div>
        <w:div w:id="1614248753">
          <w:marLeft w:val="0"/>
          <w:marRight w:val="0"/>
          <w:marTop w:val="0"/>
          <w:marBottom w:val="0"/>
          <w:divBdr>
            <w:top w:val="none" w:sz="0" w:space="0" w:color="auto"/>
            <w:left w:val="none" w:sz="0" w:space="0" w:color="auto"/>
            <w:bottom w:val="none" w:sz="0" w:space="0" w:color="auto"/>
            <w:right w:val="none" w:sz="0" w:space="0" w:color="auto"/>
          </w:divBdr>
        </w:div>
        <w:div w:id="1034617601">
          <w:marLeft w:val="0"/>
          <w:marRight w:val="0"/>
          <w:marTop w:val="0"/>
          <w:marBottom w:val="0"/>
          <w:divBdr>
            <w:top w:val="none" w:sz="0" w:space="0" w:color="auto"/>
            <w:left w:val="none" w:sz="0" w:space="0" w:color="auto"/>
            <w:bottom w:val="none" w:sz="0" w:space="0" w:color="auto"/>
            <w:right w:val="none" w:sz="0" w:space="0" w:color="auto"/>
          </w:divBdr>
        </w:div>
        <w:div w:id="944923695">
          <w:marLeft w:val="0"/>
          <w:marRight w:val="0"/>
          <w:marTop w:val="0"/>
          <w:marBottom w:val="0"/>
          <w:divBdr>
            <w:top w:val="none" w:sz="0" w:space="0" w:color="auto"/>
            <w:left w:val="none" w:sz="0" w:space="0" w:color="auto"/>
            <w:bottom w:val="none" w:sz="0" w:space="0" w:color="auto"/>
            <w:right w:val="none" w:sz="0" w:space="0" w:color="auto"/>
          </w:divBdr>
        </w:div>
        <w:div w:id="220139833">
          <w:marLeft w:val="0"/>
          <w:marRight w:val="0"/>
          <w:marTop w:val="0"/>
          <w:marBottom w:val="0"/>
          <w:divBdr>
            <w:top w:val="none" w:sz="0" w:space="0" w:color="auto"/>
            <w:left w:val="none" w:sz="0" w:space="0" w:color="auto"/>
            <w:bottom w:val="none" w:sz="0" w:space="0" w:color="auto"/>
            <w:right w:val="none" w:sz="0" w:space="0" w:color="auto"/>
          </w:divBdr>
        </w:div>
        <w:div w:id="919871905">
          <w:marLeft w:val="0"/>
          <w:marRight w:val="0"/>
          <w:marTop w:val="0"/>
          <w:marBottom w:val="0"/>
          <w:divBdr>
            <w:top w:val="none" w:sz="0" w:space="0" w:color="auto"/>
            <w:left w:val="none" w:sz="0" w:space="0" w:color="auto"/>
            <w:bottom w:val="none" w:sz="0" w:space="0" w:color="auto"/>
            <w:right w:val="none" w:sz="0" w:space="0" w:color="auto"/>
          </w:divBdr>
        </w:div>
        <w:div w:id="870920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3</cp:revision>
  <dcterms:created xsi:type="dcterms:W3CDTF">2026-05-01T18:12:00Z</dcterms:created>
  <dcterms:modified xsi:type="dcterms:W3CDTF">2026-05-01T18:12:00Z</dcterms:modified>
</cp:coreProperties>
</file>