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5C6" w:rsidRDefault="009A25C6" w:rsidP="009A25C6">
      <w:pPr>
        <w:jc w:val="both"/>
        <w:rPr>
          <w:rFonts w:ascii="Arial" w:hAnsi="Arial" w:cs="Arial"/>
          <w:b/>
          <w:bCs/>
          <w:color w:val="0000FF"/>
        </w:rPr>
      </w:pPr>
      <w:bookmarkStart w:id="0" w:name="_GoBack"/>
      <w:r>
        <w:rPr>
          <w:rFonts w:ascii="Arial" w:hAnsi="Arial" w:cs="Arial"/>
          <w:b/>
          <w:bCs/>
          <w:color w:val="0000FF"/>
        </w:rPr>
        <w:t xml:space="preserve">2024 Yılı Enflasyonu %44,38 Olarak Açıklandı </w:t>
      </w:r>
    </w:p>
    <w:p w:rsidR="009A25C6" w:rsidRDefault="009A25C6" w:rsidP="009A25C6">
      <w:pPr>
        <w:jc w:val="both"/>
        <w:rPr>
          <w:sz w:val="24"/>
          <w:szCs w:val="24"/>
        </w:rPr>
      </w:pPr>
    </w:p>
    <w:p w:rsidR="009A25C6" w:rsidRDefault="009A25C6" w:rsidP="009A25C6">
      <w:pPr>
        <w:pStyle w:val="NormalWeb"/>
        <w:spacing w:before="0" w:beforeAutospacing="0" w:after="240" w:afterAutospacing="0" w:line="360" w:lineRule="auto"/>
        <w:jc w:val="both"/>
        <w:rPr>
          <w:rFonts w:ascii="Calibri" w:hAnsi="Calibri" w:cs="Calibri"/>
          <w:sz w:val="22"/>
          <w:szCs w:val="22"/>
        </w:rPr>
      </w:pPr>
      <w:r>
        <w:rPr>
          <w:rFonts w:ascii="Arial" w:hAnsi="Arial" w:cs="Arial"/>
          <w:color w:val="000000"/>
          <w:sz w:val="20"/>
          <w:szCs w:val="20"/>
        </w:rPr>
        <w:t xml:space="preserve">Aralık ayında TÜFE, yaklaşık %1,6 olan </w:t>
      </w:r>
      <w:proofErr w:type="gramStart"/>
      <w:r>
        <w:rPr>
          <w:rFonts w:ascii="Arial" w:hAnsi="Arial" w:cs="Arial"/>
          <w:color w:val="000000"/>
          <w:sz w:val="20"/>
          <w:szCs w:val="20"/>
        </w:rPr>
        <w:t>konsensüs</w:t>
      </w:r>
      <w:proofErr w:type="gramEnd"/>
      <w:r>
        <w:rPr>
          <w:rFonts w:ascii="Arial" w:hAnsi="Arial" w:cs="Arial"/>
          <w:color w:val="000000"/>
          <w:sz w:val="20"/>
          <w:szCs w:val="20"/>
        </w:rPr>
        <w:t xml:space="preserve"> beklentilerin altında  %1,03 oranında artış gösterirken, yıllık bazda TÜFE, Kasım ayındaki %47,09 seviyesinden Kasım ayında %44,38 seviyesine geriledi. Bizim beklentimiz aylık </w:t>
      </w:r>
      <w:proofErr w:type="gramStart"/>
      <w:r>
        <w:rPr>
          <w:rFonts w:ascii="Arial" w:hAnsi="Arial" w:cs="Arial"/>
          <w:color w:val="000000"/>
          <w:sz w:val="20"/>
          <w:szCs w:val="20"/>
        </w:rPr>
        <w:t>bazda</w:t>
      </w:r>
      <w:proofErr w:type="gramEnd"/>
      <w:r>
        <w:rPr>
          <w:rFonts w:ascii="Arial" w:hAnsi="Arial" w:cs="Arial"/>
          <w:color w:val="000000"/>
          <w:sz w:val="20"/>
          <w:szCs w:val="20"/>
        </w:rPr>
        <w:t xml:space="preserve"> %1,75 yıllık bazda ise %45,4 artış yönündeydi. Gıda enflasyonu yıllık </w:t>
      </w:r>
      <w:proofErr w:type="gramStart"/>
      <w:r>
        <w:rPr>
          <w:rFonts w:ascii="Arial" w:hAnsi="Arial" w:cs="Arial"/>
          <w:color w:val="000000"/>
          <w:sz w:val="20"/>
          <w:szCs w:val="20"/>
        </w:rPr>
        <w:t>bazda</w:t>
      </w:r>
      <w:proofErr w:type="gramEnd"/>
      <w:r>
        <w:rPr>
          <w:rFonts w:ascii="Arial" w:hAnsi="Arial" w:cs="Arial"/>
          <w:color w:val="000000"/>
          <w:sz w:val="20"/>
          <w:szCs w:val="20"/>
        </w:rPr>
        <w:t xml:space="preserve"> %48,6’dan %43,58’e, çekirdek enflasyon ise %47,1’den %45,34’e geriledi. Aralık verilerine göre altı aylık enflasyon oranı %15,75 olarak hesaplandı ve böylelikle emeklilerle memurların zam oranı da belli oldu.</w:t>
      </w:r>
    </w:p>
    <w:p w:rsidR="009A25C6" w:rsidRDefault="009A25C6" w:rsidP="009A25C6">
      <w:pPr>
        <w:pStyle w:val="NormalWeb"/>
        <w:spacing w:before="0" w:beforeAutospacing="0" w:after="240" w:afterAutospacing="0" w:line="360" w:lineRule="auto"/>
        <w:jc w:val="both"/>
        <w:rPr>
          <w:rFonts w:ascii="Calibri" w:hAnsi="Calibri" w:cs="Calibri"/>
          <w:sz w:val="22"/>
          <w:szCs w:val="22"/>
        </w:rPr>
      </w:pPr>
      <w:r>
        <w:rPr>
          <w:rFonts w:ascii="Arial" w:hAnsi="Arial" w:cs="Arial"/>
          <w:color w:val="000000"/>
          <w:sz w:val="20"/>
          <w:szCs w:val="20"/>
        </w:rPr>
        <w:t xml:space="preserve">ÜFE ise aylık </w:t>
      </w:r>
      <w:proofErr w:type="gramStart"/>
      <w:r>
        <w:rPr>
          <w:rFonts w:ascii="Arial" w:hAnsi="Arial" w:cs="Arial"/>
          <w:color w:val="000000"/>
          <w:sz w:val="20"/>
          <w:szCs w:val="20"/>
        </w:rPr>
        <w:t>bazda</w:t>
      </w:r>
      <w:proofErr w:type="gramEnd"/>
      <w:r>
        <w:rPr>
          <w:rFonts w:ascii="Arial" w:hAnsi="Arial" w:cs="Arial"/>
          <w:color w:val="000000"/>
          <w:sz w:val="20"/>
          <w:szCs w:val="20"/>
        </w:rPr>
        <w:t xml:space="preserve"> %0,40 oranında artış gösterirken, yıllık artış bir önceki aydaki %29,47 seviyesinden Aralık ayında %28,52 seviyesine geriledi.</w:t>
      </w:r>
    </w:p>
    <w:p w:rsidR="009A25C6" w:rsidRDefault="009A25C6" w:rsidP="009A25C6">
      <w:pPr>
        <w:pStyle w:val="NormalWeb"/>
        <w:spacing w:before="0" w:beforeAutospacing="0" w:after="240" w:afterAutospacing="0" w:line="360" w:lineRule="auto"/>
        <w:jc w:val="both"/>
        <w:rPr>
          <w:rFonts w:ascii="Calibri" w:hAnsi="Calibri" w:cs="Calibri"/>
          <w:sz w:val="22"/>
          <w:szCs w:val="22"/>
        </w:rPr>
      </w:pPr>
      <w:r>
        <w:rPr>
          <w:rFonts w:ascii="Arial" w:hAnsi="Arial" w:cs="Arial"/>
          <w:color w:val="000000"/>
          <w:sz w:val="20"/>
          <w:szCs w:val="20"/>
        </w:rPr>
        <w:t xml:space="preserve">ÜFE tarafında aylık </w:t>
      </w:r>
      <w:proofErr w:type="gramStart"/>
      <w:r>
        <w:rPr>
          <w:rFonts w:ascii="Arial" w:hAnsi="Arial" w:cs="Arial"/>
          <w:color w:val="000000"/>
          <w:sz w:val="20"/>
          <w:szCs w:val="20"/>
        </w:rPr>
        <w:t>bazda</w:t>
      </w:r>
      <w:proofErr w:type="gramEnd"/>
      <w:r>
        <w:rPr>
          <w:rFonts w:ascii="Arial" w:hAnsi="Arial" w:cs="Arial"/>
          <w:color w:val="000000"/>
          <w:sz w:val="20"/>
          <w:szCs w:val="20"/>
        </w:rPr>
        <w:t xml:space="preserve"> en fazla artış %4,71 ile içecekler, %2,47 ile kömür ve linyit tarafında olurken, Aralık ayında en çok düşüş gösteren grup %5,84 ile elektrik, gaz, buhar ve iklimlendirme tarafında gerçekleşti. </w:t>
      </w:r>
    </w:p>
    <w:p w:rsidR="009A25C6" w:rsidRDefault="009A25C6" w:rsidP="009A25C6">
      <w:pPr>
        <w:pStyle w:val="NormalWeb"/>
        <w:spacing w:before="0" w:beforeAutospacing="0" w:after="240" w:afterAutospacing="0" w:line="360" w:lineRule="auto"/>
        <w:jc w:val="both"/>
        <w:rPr>
          <w:rFonts w:ascii="Calibri" w:hAnsi="Calibri" w:cs="Calibri"/>
          <w:sz w:val="22"/>
          <w:szCs w:val="22"/>
        </w:rPr>
      </w:pPr>
      <w:r>
        <w:rPr>
          <w:rFonts w:ascii="Arial" w:hAnsi="Arial" w:cs="Arial"/>
          <w:color w:val="000000"/>
          <w:sz w:val="20"/>
          <w:szCs w:val="20"/>
        </w:rPr>
        <w:t xml:space="preserve">Enflasyon verisi sonrasında piyasanın kısa vadeli tepkisi, enflasyondaki aylık eğilimin geri gelmesinden kaynaklı olarak pozitif oldu. Böylelikle Ocak için faiz indirim beklentileri de güçlendi. TCMB’nin Enflasyon Raporu Toplantısında geçtiğimiz dönemlerde bir kutu çalışması yayımlanmıştı. Bu kutu çalışmasında asgari ücret </w:t>
      </w:r>
      <w:proofErr w:type="spellStart"/>
      <w:r>
        <w:rPr>
          <w:rFonts w:ascii="Arial" w:hAnsi="Arial" w:cs="Arial"/>
          <w:color w:val="000000"/>
          <w:sz w:val="20"/>
          <w:szCs w:val="20"/>
        </w:rPr>
        <w:t>geçişkenliği</w:t>
      </w:r>
      <w:proofErr w:type="spellEnd"/>
      <w:r>
        <w:rPr>
          <w:rFonts w:ascii="Arial" w:hAnsi="Arial" w:cs="Arial"/>
          <w:color w:val="000000"/>
          <w:sz w:val="20"/>
          <w:szCs w:val="20"/>
        </w:rPr>
        <w:t xml:space="preserve"> ölçen katsayı 0,08 – 0,12 </w:t>
      </w:r>
      <w:proofErr w:type="gramStart"/>
      <w:r>
        <w:rPr>
          <w:rFonts w:ascii="Arial" w:hAnsi="Arial" w:cs="Arial"/>
          <w:color w:val="000000"/>
          <w:sz w:val="20"/>
          <w:szCs w:val="20"/>
        </w:rPr>
        <w:t>aralığında</w:t>
      </w:r>
      <w:proofErr w:type="gramEnd"/>
      <w:r>
        <w:rPr>
          <w:rFonts w:ascii="Arial" w:hAnsi="Arial" w:cs="Arial"/>
          <w:color w:val="000000"/>
          <w:sz w:val="20"/>
          <w:szCs w:val="20"/>
        </w:rPr>
        <w:t xml:space="preserve"> belirlenmişti. Yani, asgari ücrette yapılan %1’lik artış 12 aylık dönem içerisinde enflasyonu %0,08—%0,12 </w:t>
      </w:r>
      <w:proofErr w:type="gramStart"/>
      <w:r>
        <w:rPr>
          <w:rFonts w:ascii="Arial" w:hAnsi="Arial" w:cs="Arial"/>
          <w:color w:val="000000"/>
          <w:sz w:val="20"/>
          <w:szCs w:val="20"/>
        </w:rPr>
        <w:t>aralığında</w:t>
      </w:r>
      <w:proofErr w:type="gramEnd"/>
      <w:r>
        <w:rPr>
          <w:rFonts w:ascii="Arial" w:hAnsi="Arial" w:cs="Arial"/>
          <w:color w:val="000000"/>
          <w:sz w:val="20"/>
          <w:szCs w:val="20"/>
        </w:rPr>
        <w:t xml:space="preserve"> yükseltiyor. Geçen hafta açıklanan %30’luk net asgari ücret zammı ile birlikte düşünüldüğünde TCMB modeli yıllık enflasyonun yaklaşık %3,00—%3,60 yükseltmesi beklenebilir. Bu etkinin çoğu ilk çeyrekte yaşanacakken, ilk yarıda tamamı fiyatlara girecektir. (Beklentimiz 2025 yıllık %28,05 enflasyon)</w:t>
      </w:r>
    </w:p>
    <w:p w:rsidR="009A25C6" w:rsidRDefault="009A25C6" w:rsidP="009A25C6">
      <w:pPr>
        <w:pStyle w:val="NormalWeb"/>
        <w:spacing w:before="0" w:beforeAutospacing="0" w:after="160" w:afterAutospacing="0" w:line="360" w:lineRule="auto"/>
        <w:jc w:val="both"/>
        <w:rPr>
          <w:rFonts w:ascii="Calibri" w:hAnsi="Calibri" w:cs="Calibri"/>
          <w:sz w:val="22"/>
          <w:szCs w:val="22"/>
        </w:rPr>
      </w:pPr>
      <w:r>
        <w:rPr>
          <w:rFonts w:ascii="Arial" w:hAnsi="Arial" w:cs="Arial"/>
          <w:color w:val="000000"/>
          <w:sz w:val="20"/>
          <w:szCs w:val="20"/>
        </w:rPr>
        <w:t xml:space="preserve">TCMB, geçtiğimiz ay 22 aylık aranın ardından faiz indirdi. TCMB, politika faizini 250 </w:t>
      </w:r>
      <w:proofErr w:type="gramStart"/>
      <w:r>
        <w:rPr>
          <w:rFonts w:ascii="Arial" w:hAnsi="Arial" w:cs="Arial"/>
          <w:color w:val="000000"/>
          <w:sz w:val="20"/>
          <w:szCs w:val="20"/>
        </w:rPr>
        <w:t>baz</w:t>
      </w:r>
      <w:proofErr w:type="gramEnd"/>
      <w:r>
        <w:rPr>
          <w:rFonts w:ascii="Arial" w:hAnsi="Arial" w:cs="Arial"/>
          <w:color w:val="000000"/>
          <w:sz w:val="20"/>
          <w:szCs w:val="20"/>
        </w:rPr>
        <w:t xml:space="preserve"> puan düşürerek %47,50’ye çekti. TCMB aynı zamanda faiz koridorunu da daralttı. Borç alma / borç faiz koridoru +/-300’den +/-150’ye çekildi. TCMB, 2025 yılı yol haritasını da belirledi. 2025 yılında 12 toplantıdan 8 toplantıya da indirilmesi Merkez Bankası’nın </w:t>
      </w:r>
      <w:proofErr w:type="gramStart"/>
      <w:r>
        <w:rPr>
          <w:rFonts w:ascii="Arial" w:hAnsi="Arial" w:cs="Arial"/>
          <w:color w:val="000000"/>
          <w:sz w:val="20"/>
          <w:szCs w:val="20"/>
        </w:rPr>
        <w:t>global</w:t>
      </w:r>
      <w:proofErr w:type="gramEnd"/>
      <w:r>
        <w:rPr>
          <w:rFonts w:ascii="Arial" w:hAnsi="Arial" w:cs="Arial"/>
          <w:color w:val="000000"/>
          <w:sz w:val="20"/>
          <w:szCs w:val="20"/>
        </w:rPr>
        <w:t xml:space="preserve"> MB’leri de takip edeceğini gösteriyor. </w:t>
      </w:r>
    </w:p>
    <w:p w:rsidR="009A25C6" w:rsidRDefault="009A25C6" w:rsidP="009A25C6">
      <w:pPr>
        <w:pStyle w:val="NormalWeb"/>
        <w:spacing w:before="0" w:beforeAutospacing="0" w:after="160" w:afterAutospacing="0" w:line="360" w:lineRule="auto"/>
        <w:jc w:val="both"/>
        <w:rPr>
          <w:rFonts w:ascii="Calibri" w:hAnsi="Calibri" w:cs="Calibri"/>
          <w:sz w:val="22"/>
          <w:szCs w:val="22"/>
        </w:rPr>
      </w:pPr>
      <w:r>
        <w:rPr>
          <w:rFonts w:ascii="Arial" w:hAnsi="Arial" w:cs="Arial"/>
          <w:color w:val="000000"/>
          <w:sz w:val="20"/>
          <w:szCs w:val="20"/>
        </w:rPr>
        <w:t xml:space="preserve">Enflasyondaki ana eğilimin düşüşü ve sadece para politikası değil, maliye politikasının da enflasyondaki ana eğilim düşüşüne katkı sağlayacağının belirtilmesi ile Ocak ayında 250 </w:t>
      </w:r>
      <w:proofErr w:type="gramStart"/>
      <w:r>
        <w:rPr>
          <w:rFonts w:ascii="Arial" w:hAnsi="Arial" w:cs="Arial"/>
          <w:color w:val="000000"/>
          <w:sz w:val="20"/>
          <w:szCs w:val="20"/>
        </w:rPr>
        <w:t>baz</w:t>
      </w:r>
      <w:proofErr w:type="gramEnd"/>
      <w:r>
        <w:rPr>
          <w:rFonts w:ascii="Arial" w:hAnsi="Arial" w:cs="Arial"/>
          <w:color w:val="000000"/>
          <w:sz w:val="20"/>
          <w:szCs w:val="20"/>
        </w:rPr>
        <w:t xml:space="preserve"> puanlık faiz indirimi beklentisinin bekliyoruz. </w:t>
      </w:r>
    </w:p>
    <w:p w:rsidR="0073558F" w:rsidRDefault="009A25C6" w:rsidP="009A25C6">
      <w:pPr>
        <w:rPr>
          <w:rFonts w:ascii="Arial" w:hAnsi="Arial" w:cs="Arial"/>
          <w:color w:val="000000"/>
          <w:sz w:val="20"/>
          <w:szCs w:val="20"/>
        </w:rPr>
      </w:pPr>
      <w:r>
        <w:rPr>
          <w:rFonts w:ascii="Arial" w:hAnsi="Arial" w:cs="Arial"/>
          <w:color w:val="000000"/>
          <w:sz w:val="20"/>
          <w:szCs w:val="20"/>
        </w:rPr>
        <w:lastRenderedPageBreak/>
        <w:t> </w:t>
      </w:r>
      <w:r>
        <w:rPr>
          <w:noProof/>
          <w:lang w:eastAsia="tr-TR"/>
        </w:rPr>
        <w:drawing>
          <wp:inline distT="0" distB="0" distL="0" distR="0">
            <wp:extent cx="4524375" cy="3371850"/>
            <wp:effectExtent l="0" t="0" r="9525" b="0"/>
            <wp:docPr id="1" name="Resim 1" descr="https://storage.googleapis.com/valuezon/applicants/1544/messages/12620/blobid17358885176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https://storage.googleapis.com/valuezon/applicants/1544/messages/12620/blobid1735888517638.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24375" cy="3371850"/>
                    </a:xfrm>
                    <a:prstGeom prst="rect">
                      <a:avLst/>
                    </a:prstGeom>
                    <a:noFill/>
                    <a:ln>
                      <a:noFill/>
                    </a:ln>
                  </pic:spPr>
                </pic:pic>
              </a:graphicData>
            </a:graphic>
          </wp:inline>
        </w:drawing>
      </w:r>
    </w:p>
    <w:p w:rsidR="009A25C6" w:rsidRDefault="009A25C6" w:rsidP="009A25C6">
      <w:r>
        <w:rPr>
          <w:noProof/>
          <w:lang w:eastAsia="tr-TR"/>
        </w:rPr>
        <w:drawing>
          <wp:inline distT="0" distB="0" distL="0" distR="0">
            <wp:extent cx="4524375" cy="2447925"/>
            <wp:effectExtent l="0" t="0" r="9525" b="9525"/>
            <wp:docPr id="2" name="Resim 2" descr="https://storage.googleapis.com/valuezon/applicants/1544/messages/12620/blobid1735888524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https://storage.googleapis.com/valuezon/applicants/1544/messages/12620/blobid1735888524344.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24375" cy="2447925"/>
                    </a:xfrm>
                    <a:prstGeom prst="rect">
                      <a:avLst/>
                    </a:prstGeom>
                    <a:noFill/>
                    <a:ln>
                      <a:noFill/>
                    </a:ln>
                  </pic:spPr>
                </pic:pic>
              </a:graphicData>
            </a:graphic>
          </wp:inline>
        </w:drawing>
      </w:r>
    </w:p>
    <w:p w:rsidR="009A25C6" w:rsidRDefault="009A25C6" w:rsidP="009A25C6"/>
    <w:p w:rsidR="009A25C6" w:rsidRDefault="009A25C6" w:rsidP="009A25C6">
      <w:r>
        <w:rPr>
          <w:noProof/>
          <w:lang w:eastAsia="tr-TR"/>
        </w:rPr>
        <w:drawing>
          <wp:inline distT="0" distB="0" distL="0" distR="0">
            <wp:extent cx="4524375" cy="990600"/>
            <wp:effectExtent l="0" t="0" r="9525" b="0"/>
            <wp:docPr id="3" name="Resim 3" descr="https://storage.googleapis.com/valuezon/applicants/1544/messages/12620/blobid1735888531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https://storage.googleapis.com/valuezon/applicants/1544/messages/12620/blobid1735888531162.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24375" cy="990600"/>
                    </a:xfrm>
                    <a:prstGeom prst="rect">
                      <a:avLst/>
                    </a:prstGeom>
                    <a:noFill/>
                    <a:ln>
                      <a:noFill/>
                    </a:ln>
                  </pic:spPr>
                </pic:pic>
              </a:graphicData>
            </a:graphic>
          </wp:inline>
        </w:drawing>
      </w:r>
    </w:p>
    <w:p w:rsidR="009A25C6" w:rsidRDefault="009A25C6" w:rsidP="009A25C6"/>
    <w:p w:rsidR="009A25C6" w:rsidRDefault="009A25C6" w:rsidP="009A25C6">
      <w:r>
        <w:rPr>
          <w:noProof/>
          <w:lang w:eastAsia="tr-TR"/>
        </w:rPr>
        <w:lastRenderedPageBreak/>
        <w:drawing>
          <wp:inline distT="0" distB="0" distL="0" distR="0">
            <wp:extent cx="4524375" cy="2533650"/>
            <wp:effectExtent l="0" t="0" r="9525" b="0"/>
            <wp:docPr id="4" name="Resim 4" descr="https://storage.googleapis.com/valuezon/applicants/1544/messages/12620/blobid1735888537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storage.googleapis.com/valuezon/applicants/1544/messages/12620/blobid1735888537334.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24375" cy="2533650"/>
                    </a:xfrm>
                    <a:prstGeom prst="rect">
                      <a:avLst/>
                    </a:prstGeom>
                    <a:noFill/>
                    <a:ln>
                      <a:noFill/>
                    </a:ln>
                  </pic:spPr>
                </pic:pic>
              </a:graphicData>
            </a:graphic>
          </wp:inline>
        </w:drawing>
      </w:r>
    </w:p>
    <w:p w:rsidR="009A25C6" w:rsidRDefault="009A25C6" w:rsidP="009A25C6">
      <w:r>
        <w:rPr>
          <w:noProof/>
          <w:lang w:eastAsia="tr-TR"/>
        </w:rPr>
        <w:drawing>
          <wp:inline distT="0" distB="0" distL="0" distR="0">
            <wp:extent cx="4524375" cy="2971800"/>
            <wp:effectExtent l="0" t="0" r="9525" b="0"/>
            <wp:docPr id="5" name="Resim 5" descr="https://storage.googleapis.com/valuezon/applicants/1544/messages/12620/blobid1733211556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https://storage.googleapis.com/valuezon/applicants/1544/messages/12620/blobid1733211556000.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24375" cy="2971800"/>
                    </a:xfrm>
                    <a:prstGeom prst="rect">
                      <a:avLst/>
                    </a:prstGeom>
                    <a:noFill/>
                    <a:ln>
                      <a:noFill/>
                    </a:ln>
                  </pic:spPr>
                </pic:pic>
              </a:graphicData>
            </a:graphic>
          </wp:inline>
        </w:drawing>
      </w:r>
    </w:p>
    <w:p w:rsidR="009A25C6" w:rsidRDefault="009A25C6" w:rsidP="009A25C6"/>
    <w:p w:rsidR="009A25C6" w:rsidRDefault="009A25C6" w:rsidP="009A25C6">
      <w:r>
        <w:rPr>
          <w:noProof/>
          <w:lang w:eastAsia="tr-TR"/>
        </w:rPr>
        <w:lastRenderedPageBreak/>
        <w:drawing>
          <wp:inline distT="0" distB="0" distL="0" distR="0">
            <wp:extent cx="4524375" cy="3390900"/>
            <wp:effectExtent l="0" t="0" r="9525" b="0"/>
            <wp:docPr id="6" name="Resim 6" descr="https://storage.googleapis.com/valuezon/applicants/1544/messages/12620/blobid1733211730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orage.googleapis.com/valuezon/applicants/1544/messages/12620/blobid1733211730785.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524375" cy="3390900"/>
                    </a:xfrm>
                    <a:prstGeom prst="rect">
                      <a:avLst/>
                    </a:prstGeom>
                    <a:noFill/>
                    <a:ln>
                      <a:noFill/>
                    </a:ln>
                  </pic:spPr>
                </pic:pic>
              </a:graphicData>
            </a:graphic>
          </wp:inline>
        </w:drawing>
      </w:r>
      <w:bookmarkEnd w:id="0"/>
    </w:p>
    <w:sectPr w:rsidR="009A2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C6"/>
    <w:rsid w:val="0073558F"/>
    <w:rsid w:val="009A25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9CFD"/>
  <w15:chartTrackingRefBased/>
  <w15:docId w15:val="{6919FFC9-1199-4159-867A-6A3F05F2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5C6"/>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A25C6"/>
    <w:pPr>
      <w:spacing w:before="100" w:beforeAutospacing="1" w:after="100" w:afterAutospacing="1"/>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6.png@01DB5DDF.667FE6F0" TargetMode="External"/><Relationship Id="rId3" Type="http://schemas.openxmlformats.org/officeDocument/2006/relationships/webSettings" Target="webSettings.xml"/><Relationship Id="rId7" Type="http://schemas.openxmlformats.org/officeDocument/2006/relationships/image" Target="cid:image003.png@01DB5DDF.667FE6F0"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5.png@01DB5DDF.667FE6F0" TargetMode="External"/><Relationship Id="rId5" Type="http://schemas.openxmlformats.org/officeDocument/2006/relationships/image" Target="cid:image002.png@01DB5DDF.667FE6F0" TargetMode="External"/><Relationship Id="rId15" Type="http://schemas.openxmlformats.org/officeDocument/2006/relationships/image" Target="cid:image007.png@01DB5DDF.667FE6F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4.png@01DB5DDF.667FE6F0" TargetMode="External"/><Relationship Id="rId1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352</Words>
  <Characters>2013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FOREKS</dc:creator>
  <cp:keywords/>
  <dc:description/>
  <cp:lastModifiedBy>FOREKS</cp:lastModifiedBy>
  <cp:revision>1</cp:revision>
  <dcterms:created xsi:type="dcterms:W3CDTF">2025-01-03T10:06:00Z</dcterms:created>
  <dcterms:modified xsi:type="dcterms:W3CDTF">2025-01-03T10:07:00Z</dcterms:modified>
</cp:coreProperties>
</file>