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97" w:rsidRDefault="004E5F97" w:rsidP="004E5F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C566A"/>
        </w:rPr>
      </w:pPr>
      <w:r>
        <w:rPr>
          <w:rStyle w:val="Gl"/>
          <w:rFonts w:ascii="inherit" w:hAnsi="inherit"/>
          <w:color w:val="4C566A"/>
          <w:bdr w:val="none" w:sz="0" w:space="0" w:color="auto" w:frame="1"/>
        </w:rPr>
        <w:t>Şirket Haberleri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Roboto" w:hAnsi="Roboto"/>
          <w:color w:val="4C566A"/>
        </w:rPr>
      </w:pPr>
      <w:r>
        <w:rPr>
          <w:rStyle w:val="Gl"/>
          <w:rFonts w:ascii="inherit" w:hAnsi="inherit"/>
          <w:color w:val="4C566A"/>
          <w:bdr w:val="none" w:sz="0" w:space="0" w:color="auto" w:frame="1"/>
        </w:rPr>
        <w:t>AGHOL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>UMS-29 etkisi hariç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 xml:space="preserve">Anadolu Grubu Holding 4Ç23’te bizim tahminimiz olan 1,5 milyar TL’nin ve piyasa beklentisi olan 1,7 milyar TL’nin altında 1,24 milyar TL net kar açıkladı. Yılın tamamında ise net kar %131 büyüme ile 8,77 milyar TL’ye ulaştı. Migros ve içecek </w:t>
      </w:r>
      <w:proofErr w:type="spellStart"/>
      <w:r>
        <w:rPr>
          <w:rFonts w:ascii="Roboto" w:hAnsi="Roboto"/>
          <w:color w:val="4C566A"/>
        </w:rPr>
        <w:t>segmentleri</w:t>
      </w:r>
      <w:proofErr w:type="spellEnd"/>
      <w:r>
        <w:rPr>
          <w:rFonts w:ascii="Roboto" w:hAnsi="Roboto"/>
          <w:color w:val="4C566A"/>
        </w:rPr>
        <w:t xml:space="preserve"> net kara en büyük katkıyı sağladı. Konsolide ciro, MGROS ve otomobil </w:t>
      </w:r>
      <w:proofErr w:type="spellStart"/>
      <w:r>
        <w:rPr>
          <w:rFonts w:ascii="Roboto" w:hAnsi="Roboto"/>
          <w:color w:val="4C566A"/>
        </w:rPr>
        <w:t>segmentinin</w:t>
      </w:r>
      <w:proofErr w:type="spellEnd"/>
      <w:r>
        <w:rPr>
          <w:rFonts w:ascii="Roboto" w:hAnsi="Roboto"/>
          <w:color w:val="4C566A"/>
        </w:rPr>
        <w:t xml:space="preserve"> güçlü katkısıyla 2023 yılında %80 artış ile 99 milyar TL’ye ulaştı. Konsolide FAVÖK yıllık %82 artışla 46 milyar TL’ye yükseldi. FAVÖK büyümesi temel olarak meşrubat ve otomotiv </w:t>
      </w:r>
      <w:proofErr w:type="spellStart"/>
      <w:r>
        <w:rPr>
          <w:rFonts w:ascii="Roboto" w:hAnsi="Roboto"/>
          <w:color w:val="4C566A"/>
        </w:rPr>
        <w:t>segmentlerinin</w:t>
      </w:r>
      <w:proofErr w:type="spellEnd"/>
      <w:r>
        <w:rPr>
          <w:rFonts w:ascii="Roboto" w:hAnsi="Roboto"/>
          <w:color w:val="4C566A"/>
        </w:rPr>
        <w:t xml:space="preserve"> güçlü faaliyet </w:t>
      </w:r>
      <w:proofErr w:type="gramStart"/>
      <w:r>
        <w:rPr>
          <w:rFonts w:ascii="Roboto" w:hAnsi="Roboto"/>
          <w:color w:val="4C566A"/>
        </w:rPr>
        <w:t>marjlarıyla</w:t>
      </w:r>
      <w:proofErr w:type="gramEnd"/>
      <w:r>
        <w:rPr>
          <w:rFonts w:ascii="Roboto" w:hAnsi="Roboto"/>
          <w:color w:val="4C566A"/>
        </w:rPr>
        <w:t xml:space="preserve"> desteklendi.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>UMS-29’un etkisi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 xml:space="preserve">Anadolu Grubu Holding, UMS-29 kapsamında 2022 yılındaki 15,6 milyar TL’ye kıyasla 19,6 milyar TL net kar elde ederek %26 reel karlılık büyümesi kaydetti. Meşrubat, bira grubu ve otomotiv </w:t>
      </w:r>
      <w:proofErr w:type="spellStart"/>
      <w:r>
        <w:rPr>
          <w:rFonts w:ascii="Roboto" w:hAnsi="Roboto"/>
          <w:color w:val="4C566A"/>
        </w:rPr>
        <w:t>segmentleri</w:t>
      </w:r>
      <w:proofErr w:type="spellEnd"/>
      <w:r>
        <w:rPr>
          <w:rFonts w:ascii="Roboto" w:hAnsi="Roboto"/>
          <w:color w:val="4C566A"/>
        </w:rPr>
        <w:t xml:space="preserve"> UMS-29 kapsamında önemli net kar artışı kaydederken, </w:t>
      </w:r>
      <w:proofErr w:type="spellStart"/>
      <w:r>
        <w:rPr>
          <w:rFonts w:ascii="Roboto" w:hAnsi="Roboto"/>
          <w:color w:val="4C566A"/>
        </w:rPr>
        <w:t>MGROS’un</w:t>
      </w:r>
      <w:proofErr w:type="spellEnd"/>
      <w:r>
        <w:rPr>
          <w:rFonts w:ascii="Roboto" w:hAnsi="Roboto"/>
          <w:color w:val="4C566A"/>
        </w:rPr>
        <w:t xml:space="preserve"> enflasyondan arındırılmış net karı hafif geriledi.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>Yorum: Borsada işlem gören şirketler mali tablolarını daha önce açıkladıkları için sonuçlara yönelik önemli bir piyasa tepkisi beklemiyoruz.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 xml:space="preserve">Borçluluk: Holding’in </w:t>
      </w:r>
      <w:proofErr w:type="gramStart"/>
      <w:r>
        <w:rPr>
          <w:rFonts w:ascii="Roboto" w:hAnsi="Roboto"/>
          <w:color w:val="4C566A"/>
        </w:rPr>
        <w:t>konsolide</w:t>
      </w:r>
      <w:proofErr w:type="gramEnd"/>
      <w:r>
        <w:rPr>
          <w:rFonts w:ascii="Roboto" w:hAnsi="Roboto"/>
          <w:color w:val="4C566A"/>
        </w:rPr>
        <w:t xml:space="preserve"> net borç pozisyonu 2022 sonundaki 866mn </w:t>
      </w:r>
      <w:proofErr w:type="spellStart"/>
      <w:r>
        <w:rPr>
          <w:rFonts w:ascii="Roboto" w:hAnsi="Roboto"/>
          <w:color w:val="4C566A"/>
        </w:rPr>
        <w:t>EUR’ya</w:t>
      </w:r>
      <w:proofErr w:type="spellEnd"/>
      <w:r>
        <w:rPr>
          <w:rFonts w:ascii="Roboto" w:hAnsi="Roboto"/>
          <w:color w:val="4C566A"/>
        </w:rPr>
        <w:t xml:space="preserve"> kıyasla 711mn EUR seviyesine geriledi. Konsolide Net Borç / FAVÖK 0,6x seviyesinde (2022 sonu itibariyle 0,9x’e kıyasla). Holding’in solo net borç pozisyonu 4Ç23 sonu itibariyle 2,8 milyar TL seviyesinde.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bookmarkStart w:id="0" w:name="_GoBack"/>
      <w:r>
        <w:rPr>
          <w:rFonts w:ascii="Roboto" w:hAnsi="Roboto"/>
          <w:color w:val="4C566A"/>
        </w:rPr>
        <w:t>Değerleme</w:t>
      </w:r>
    </w:p>
    <w:p w:rsidR="004E5F97" w:rsidRDefault="004E5F97" w:rsidP="004E5F97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Roboto" w:hAnsi="Roboto"/>
          <w:color w:val="4C566A"/>
        </w:rPr>
      </w:pPr>
      <w:r>
        <w:rPr>
          <w:rFonts w:ascii="Roboto" w:hAnsi="Roboto"/>
          <w:color w:val="4C566A"/>
        </w:rPr>
        <w:t xml:space="preserve">355 TL/hisse hedef fiyatımız ile AL tavsiyemizi koruyoruz. Holding’in cari NAD </w:t>
      </w:r>
      <w:proofErr w:type="spellStart"/>
      <w:r>
        <w:rPr>
          <w:rFonts w:ascii="Roboto" w:hAnsi="Roboto"/>
          <w:color w:val="4C566A"/>
        </w:rPr>
        <w:t>iskontosu</w:t>
      </w:r>
      <w:proofErr w:type="spellEnd"/>
      <w:r>
        <w:rPr>
          <w:rFonts w:ascii="Roboto" w:hAnsi="Roboto"/>
          <w:color w:val="4C566A"/>
        </w:rPr>
        <w:t xml:space="preserve"> %39 (TOGG </w:t>
      </w:r>
      <w:proofErr w:type="gramStart"/>
      <w:r>
        <w:rPr>
          <w:rFonts w:ascii="Roboto" w:hAnsi="Roboto"/>
          <w:color w:val="4C566A"/>
        </w:rPr>
        <w:t>dahil</w:t>
      </w:r>
      <w:proofErr w:type="gramEnd"/>
      <w:r>
        <w:rPr>
          <w:rFonts w:ascii="Roboto" w:hAnsi="Roboto"/>
          <w:color w:val="4C566A"/>
        </w:rPr>
        <w:t xml:space="preserve"> %42) olup, 1 yıllık ve 3 yıllık ortalama </w:t>
      </w:r>
      <w:proofErr w:type="spellStart"/>
      <w:r>
        <w:rPr>
          <w:rFonts w:ascii="Roboto" w:hAnsi="Roboto"/>
          <w:color w:val="4C566A"/>
        </w:rPr>
        <w:t>iskontoları</w:t>
      </w:r>
      <w:proofErr w:type="spellEnd"/>
      <w:r>
        <w:rPr>
          <w:rFonts w:ascii="Roboto" w:hAnsi="Roboto"/>
          <w:color w:val="4C566A"/>
        </w:rPr>
        <w:t xml:space="preserve"> sırasıyla %38 ve %31’dir.</w:t>
      </w:r>
    </w:p>
    <w:bookmarkEnd w:id="0"/>
    <w:p w:rsidR="009C3BD0" w:rsidRDefault="00F065A8">
      <w:r>
        <w:fldChar w:fldCharType="begin"/>
      </w:r>
      <w:r>
        <w:instrText xml:space="preserve"> HYPERLINK "https:</w:instrText>
      </w:r>
      <w:r>
        <w:instrText xml:space="preserve">//arastirma.isyatirim.com.tr/2024/03/27/piyasalarda-bugun-27-03-2024/" </w:instrText>
      </w:r>
      <w:r>
        <w:fldChar w:fldCharType="separate"/>
      </w:r>
      <w:r w:rsidR="004E5F97" w:rsidRPr="007E08D3">
        <w:rPr>
          <w:rStyle w:val="Kpr"/>
        </w:rPr>
        <w:t>https://arastirma.isyatirim.com.tr/2024/03/27/piyasalarda-bugun-27-03-2024/</w:t>
      </w:r>
      <w:r>
        <w:rPr>
          <w:rStyle w:val="Kpr"/>
        </w:rPr>
        <w:fldChar w:fldCharType="end"/>
      </w:r>
    </w:p>
    <w:p w:rsidR="004E5F97" w:rsidRDefault="004E5F97"/>
    <w:sectPr w:rsidR="004E5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7"/>
    <w:rsid w:val="004E5F97"/>
    <w:rsid w:val="009C3BD0"/>
    <w:rsid w:val="00F0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5F97"/>
    <w:rPr>
      <w:b/>
      <w:bCs/>
    </w:rPr>
  </w:style>
  <w:style w:type="character" w:styleId="Kpr">
    <w:name w:val="Hyperlink"/>
    <w:basedOn w:val="VarsaylanParagrafYazTipi"/>
    <w:uiPriority w:val="99"/>
    <w:unhideWhenUsed/>
    <w:rsid w:val="004E5F9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E5F97"/>
    <w:rPr>
      <w:b/>
      <w:bCs/>
    </w:rPr>
  </w:style>
  <w:style w:type="character" w:styleId="Kpr">
    <w:name w:val="Hyperlink"/>
    <w:basedOn w:val="VarsaylanParagrafYazTipi"/>
    <w:uiPriority w:val="99"/>
    <w:unhideWhenUsed/>
    <w:rsid w:val="004E5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Ömer Faruk Öztürk</cp:lastModifiedBy>
  <cp:revision>2</cp:revision>
  <dcterms:created xsi:type="dcterms:W3CDTF">2024-03-27T08:39:00Z</dcterms:created>
  <dcterms:modified xsi:type="dcterms:W3CDTF">2024-03-27T08:39:00Z</dcterms:modified>
</cp:coreProperties>
</file>