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64" w:rsidRPr="00AA7C64" w:rsidRDefault="00AA7C64" w:rsidP="00AA7C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9475C"/>
          <w:sz w:val="18"/>
          <w:szCs w:val="18"/>
          <w:lang w:eastAsia="tr-TR"/>
        </w:rPr>
      </w:pPr>
      <w:bookmarkStart w:id="0" w:name="_GoBack"/>
      <w:bookmarkEnd w:id="0"/>
      <w:r w:rsidRPr="00AA7C64">
        <w:rPr>
          <w:rFonts w:ascii="Arial" w:eastAsia="Times New Roman" w:hAnsi="Arial" w:cs="Arial"/>
          <w:b/>
          <w:bCs/>
          <w:color w:val="39475C"/>
          <w:sz w:val="18"/>
          <w:szCs w:val="18"/>
          <w:lang w:eastAsia="tr-TR"/>
        </w:rPr>
        <w:t>Yatirim Teması</w:t>
      </w:r>
    </w:p>
    <w:p w:rsidR="00AA7C64" w:rsidRPr="00AA7C64" w:rsidRDefault="00AA7C64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A7C64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</w:p>
    <w:p w:rsidR="00AA7C64" w:rsidRPr="00AA7C64" w:rsidRDefault="00AA7C64" w:rsidP="00AA7C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9475C"/>
          <w:sz w:val="18"/>
          <w:szCs w:val="18"/>
          <w:lang w:eastAsia="tr-TR"/>
        </w:rPr>
      </w:pPr>
      <w:r w:rsidRPr="00AA7C64">
        <w:rPr>
          <w:rFonts w:ascii="Arial" w:eastAsia="Times New Roman" w:hAnsi="Arial" w:cs="Arial"/>
          <w:color w:val="39475C"/>
          <w:sz w:val="18"/>
          <w:szCs w:val="18"/>
          <w:lang w:eastAsia="tr-TR"/>
        </w:rPr>
        <w:t>Doğuş Otomotiv’in 2022’de toptan hafif araç pazar payı araç bulunurluğunda yaşanılan sorunlar nedeniyle 2021’deki %15.8’den 2022’de %13.2’e geriledi. Global otomotiv sanayiinde çip tedarikindeki sorunların azalması ile araç bulunabilirliğinde iyileşme beklentisi sonucu Doğuş Otomotiv’in toptan hafif araç pazar payında 2023’de 1.6 yüzde puan artışla ile %14.8’e yükseleceğini tahmin ediyoruz. Bunun sonucunda şirketin toplam satış hacminin (Skoda hariç) 2023’de yıllık %11 artışla 95 bin adete (Şirket: 96 bin) ulaşacağını tahmin ediyoruz. 2023’de şirketin konsolide satış gelirlerinin hacim büyümesi ile araç fiyat artış varsayımlarıyla %57 büyüme ile 73.4 milyar TL’ye ulaşacağını varsayıyoruz 2023’te maliyetlerdeki artış kaynaklı FAVÖK marjının yıllık bazda 0.4 puan azalarak %16.4’e gerileyeceğini, FAVÖK rakamının ise yıllın bazda %53 artacağını öngörüyoruz. 2023’de borçlanma maliyetlerindeki artış beklentimiz nedeniyle Doğuş Otomotiv’in net kar rakamında ciro ve FAVÖK büyümesinin altında yıllık bazda %36 büyüme hesaplıyoruz.</w:t>
      </w:r>
    </w:p>
    <w:p w:rsidR="00AA7C64" w:rsidRPr="00AA7C64" w:rsidRDefault="00AA7C64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A7C64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</w:p>
    <w:p w:rsidR="00AA7C64" w:rsidRPr="00AA7C64" w:rsidRDefault="00AA7C64" w:rsidP="00AA7C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9475C"/>
          <w:sz w:val="18"/>
          <w:szCs w:val="18"/>
          <w:lang w:eastAsia="tr-TR"/>
        </w:rPr>
      </w:pPr>
      <w:r w:rsidRPr="00AA7C64">
        <w:rPr>
          <w:rFonts w:ascii="Arial" w:eastAsia="Times New Roman" w:hAnsi="Arial" w:cs="Arial"/>
          <w:b/>
          <w:bCs/>
          <w:color w:val="39475C"/>
          <w:sz w:val="18"/>
          <w:szCs w:val="18"/>
          <w:lang w:eastAsia="tr-TR"/>
        </w:rPr>
        <w:t>Katalizör</w:t>
      </w:r>
    </w:p>
    <w:p w:rsidR="00AA7C64" w:rsidRPr="00AA7C64" w:rsidRDefault="00AA7C64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A7C64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</w:p>
    <w:p w:rsidR="00AA7C64" w:rsidRPr="00AA7C64" w:rsidRDefault="00AA7C64" w:rsidP="00AA7C6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9475C"/>
          <w:sz w:val="18"/>
          <w:szCs w:val="18"/>
          <w:lang w:eastAsia="tr-TR"/>
        </w:rPr>
      </w:pPr>
      <w:r w:rsidRPr="00AA7C64">
        <w:rPr>
          <w:rFonts w:ascii="Arial" w:eastAsia="Times New Roman" w:hAnsi="Arial" w:cs="Arial"/>
          <w:color w:val="39475C"/>
          <w:sz w:val="18"/>
          <w:szCs w:val="18"/>
          <w:lang w:eastAsia="tr-TR"/>
        </w:rPr>
        <w:t>DOAS için hisse başına hedef fiyatımızı özellikle DGGYO’nun %93.7 hissesi için ödenen tutarın yansıtılması, yatırım harcama tutarı varsayımlarımızdaki yukarı yönlü revizyon ve 4Ç22 sonuçlarının modelimize yansıtılması sonucu önceki 204.30TL’den 185.10TL’ye düşürüyor, ancak revize hedef fiyatımız %39 getiriye işaret ettiğinden AL tavsiyemizi koruyoruz. 2023T 2.2x Firma Değ./FAVÖK ve 2.7x F/K çarpanları ile yurtiçi ve yurtdışı benzer şirket çarpanlarına kıyasla iskontolu işlem görmektedir. Şirket, 28 Mart'ta yapılacak olan Genel Kurul'da 2 milyar TL (9.09/hisse başına) brüt temettü teklif edeceğini açıkladı. Temettü tutarı, 17 Mart kapanış fiyatına göre %6.85 temettü verimine işaret ediyor. Diğer taraftan şirketin elinde bulunan 21.5 milyon adet hissenin piyasada satılma potansiyeli hisse üzerinde orta vadede baskı oluşturabilir.p&gt;</w:t>
      </w:r>
    </w:p>
    <w:p w:rsidR="00AD7802" w:rsidRDefault="00AD7802"/>
    <w:sectPr w:rsidR="00AD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64"/>
    <w:rsid w:val="00AA7C64"/>
    <w:rsid w:val="00A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898CF-42EE-4F2B-A45F-4B61088D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lossarizerreplaced">
    <w:name w:val="glossarizer_replaced"/>
    <w:basedOn w:val="VarsaylanParagrafYazTipi"/>
    <w:rsid w:val="00AA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2024-03-18T06:33:00Z</dcterms:created>
  <dcterms:modified xsi:type="dcterms:W3CDTF">2024-03-18T06:33:00Z</dcterms:modified>
</cp:coreProperties>
</file>