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FCE40" w14:textId="77777777" w:rsidR="0025203A" w:rsidRDefault="0025203A" w:rsidP="0025203A">
      <w:pPr>
        <w:pStyle w:val="NormalWeb"/>
      </w:pPr>
      <w:r>
        <w:t>Şirket, PSS sektöründe stratejik olarak kendisini en üst seviyede konumlandırıyor ve şu anda 40 oyuncu arasında globalde 3. sırada yer alıyor.</w:t>
      </w:r>
      <w:r>
        <w:br/>
        <w:t>• Hitit, kısa bir süre önce bir rakibini geride bırakarak 3. sıraya yükseldi ve şimdi sektörde 2. sıraya yükselmeye odaklanıyor.</w:t>
      </w:r>
      <w:r>
        <w:br/>
      </w:r>
      <w:r>
        <w:br/>
        <w:t>• 2025 için %2,5 pazar payı hedefliyor,  kısa-orta vadede ise %5’e ulaşmayı planlıyor.</w:t>
      </w:r>
      <w:r>
        <w:br/>
      </w:r>
      <w:r>
        <w:br/>
        <w:t>• Şirketin büyüme stratejisi, yeni müşteriler kazanmanın yanı sıra mevcut ortaklıklar aracılığıyla organik büyümeden de faydalanmayı merkezine alıyor.</w:t>
      </w:r>
      <w:r>
        <w:br/>
      </w:r>
      <w:r>
        <w:br/>
        <w:t>• Sektördeki büyük oyuncularla sözleşmeleri sona ermek üzere olan 90 havayolu var ve geçmiş verilere dayalı olarak bu havayollarının yaklaşık %50’sinin ihale açması bekleniyor.</w:t>
      </w:r>
      <w:r>
        <w:br/>
      </w:r>
      <w:r>
        <w:br/>
        <w:t>• 5 yıllık stratejik plan: Hitit, 2028 (veya 2029) yılında 100 milyon dolar ciroya ulaşarak %30’luk bir YBBO hedefliyor. Bu büyümenin %15-20’sinin yeni müşteri kazanımlarından, %10-15’inin ise organik büyümeden gelmesi bekleniyor.</w:t>
      </w:r>
      <w:r>
        <w:br/>
      </w:r>
      <w:r>
        <w:br/>
        <w:t>•Şirket’in orta vadede %45-50 EBITDA marjı hedefi bulunuyor. Marjın iyileşmesinin ürün olgunluğu ve altyapı iyileştirmelerinden kaynaklanması bekleniyor.</w:t>
      </w:r>
      <w:r>
        <w:br/>
      </w:r>
      <w:r>
        <w:br/>
        <w:t>• Halka arz fonları, Fon Kullanım Planı çerçevesinde altyapı dönüşümü ve teknolojik iyileştirmeler için kullanılmıştır.</w:t>
      </w:r>
      <w:r>
        <w:br/>
      </w:r>
      <w:r>
        <w:br/>
        <w:t>• Serbest nakit akışının 2025’te pozitife geçmeçmesi bekleniyor. Orta vadede %15 ve uzun vadede ise %25 serbest nakit akışı marjı hedefleniyor.</w:t>
      </w:r>
      <w:r>
        <w:br/>
      </w:r>
      <w:r>
        <w:br/>
        <w:t>•Devam eden bazı kurulum projelerinin tamamlanması ile birlikte 4Ç24’te güçlü bir performans sergilenmesi, böylece Şirket’in 2024 beklentilerini tutturması bekleniyor.</w:t>
      </w:r>
    </w:p>
    <w:p w14:paraId="396843F1" w14:textId="77777777" w:rsidR="0025203A" w:rsidRDefault="0025203A" w:rsidP="0025203A">
      <w:pPr>
        <w:pStyle w:val="NormalWeb"/>
      </w:pPr>
      <w:r>
        <w:t>2024 beklentileri;</w:t>
      </w:r>
    </w:p>
    <w:p w14:paraId="70035475" w14:textId="77777777" w:rsidR="0025203A" w:rsidRDefault="0025203A" w:rsidP="0025203A">
      <w:pPr>
        <w:pStyle w:val="NormalWeb"/>
      </w:pPr>
      <w:r>
        <w:t>%33-%38 gelir büyümesi</w:t>
      </w:r>
      <w:r>
        <w:br/>
        <w:t>%43-%48 EBITDA marjı</w:t>
      </w:r>
      <w:r>
        <w:br/>
        <w:t>%25-%30 Net kar marjı</w:t>
      </w:r>
      <w:r>
        <w:br/>
        <w:t>%30-%35 Yatırım / Satış oranı</w:t>
      </w:r>
    </w:p>
    <w:p w14:paraId="21DD919A" w14:textId="77777777" w:rsidR="00C035B6" w:rsidRDefault="00C035B6"/>
    <w:sectPr w:rsidR="00C03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5E"/>
    <w:rsid w:val="0025203A"/>
    <w:rsid w:val="0026225E"/>
    <w:rsid w:val="00C0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78362-B6CE-4EA4-9B1E-9A5FD6F6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9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Öztürk</dc:creator>
  <cp:keywords/>
  <dc:description/>
  <cp:lastModifiedBy>Ömer Faruk Öztürk</cp:lastModifiedBy>
  <cp:revision>3</cp:revision>
  <dcterms:created xsi:type="dcterms:W3CDTF">2025-01-28T07:25:00Z</dcterms:created>
  <dcterms:modified xsi:type="dcterms:W3CDTF">2025-01-28T07:25:00Z</dcterms:modified>
</cp:coreProperties>
</file>