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125" w:rsidRPr="002E6125" w:rsidRDefault="002E6125" w:rsidP="002E6125">
      <w:pPr>
        <w:spacing w:before="100" w:beforeAutospacing="1" w:after="100" w:afterAutospacing="1" w:line="240" w:lineRule="auto"/>
        <w:rPr>
          <w:rFonts w:ascii="Times New Roman" w:eastAsia="Times New Roman" w:hAnsi="Times New Roman" w:cs="Times New Roman"/>
          <w:b/>
          <w:sz w:val="24"/>
          <w:szCs w:val="24"/>
          <w:lang w:eastAsia="tr-TR"/>
        </w:rPr>
      </w:pPr>
      <w:r w:rsidRPr="002E6125">
        <w:rPr>
          <w:rFonts w:ascii="Times New Roman" w:eastAsia="Times New Roman" w:hAnsi="Times New Roman" w:cs="Times New Roman"/>
          <w:b/>
          <w:sz w:val="24"/>
          <w:szCs w:val="24"/>
          <w:lang w:eastAsia="tr-TR"/>
        </w:rPr>
        <w:t>ARDYZ - 4Ç25 Finansal Sonuçları (Pozitif)</w:t>
      </w:r>
    </w:p>
    <w:p w:rsidR="002E6125" w:rsidRPr="002E6125" w:rsidRDefault="002E6125" w:rsidP="002E6125">
      <w:pPr>
        <w:spacing w:before="100" w:beforeAutospacing="1" w:after="100" w:afterAutospacing="1" w:line="240" w:lineRule="auto"/>
        <w:rPr>
          <w:rFonts w:ascii="Times New Roman" w:eastAsia="Times New Roman" w:hAnsi="Times New Roman" w:cs="Times New Roman"/>
          <w:sz w:val="24"/>
          <w:szCs w:val="24"/>
          <w:lang w:eastAsia="tr-TR"/>
        </w:rPr>
      </w:pPr>
      <w:r w:rsidRPr="002E6125">
        <w:rPr>
          <w:rFonts w:ascii="Times New Roman" w:eastAsia="Times New Roman" w:hAnsi="Times New Roman" w:cs="Times New Roman"/>
          <w:sz w:val="24"/>
          <w:szCs w:val="24"/>
          <w:lang w:eastAsia="tr-TR"/>
        </w:rPr>
        <w:t>ARD Grup Bilişim Teknolojileri A.Ş</w:t>
      </w:r>
      <w:proofErr w:type="gramStart"/>
      <w:r w:rsidRPr="002E6125">
        <w:rPr>
          <w:rFonts w:ascii="Times New Roman" w:eastAsia="Times New Roman" w:hAnsi="Times New Roman" w:cs="Times New Roman"/>
          <w:sz w:val="24"/>
          <w:szCs w:val="24"/>
          <w:lang w:eastAsia="tr-TR"/>
        </w:rPr>
        <w:t>.,</w:t>
      </w:r>
      <w:proofErr w:type="gramEnd"/>
      <w:r w:rsidRPr="002E6125">
        <w:rPr>
          <w:rFonts w:ascii="Times New Roman" w:eastAsia="Times New Roman" w:hAnsi="Times New Roman" w:cs="Times New Roman"/>
          <w:sz w:val="24"/>
          <w:szCs w:val="24"/>
          <w:lang w:eastAsia="tr-TR"/>
        </w:rPr>
        <w:t xml:space="preserve"> 2025 yıl sonu yasal konsolide finansallarında net satışlar 4,22 milyar TL, dönem net kârı ise 511,7 milyon TL olarak gerçekleşti. Çeyreklik </w:t>
      </w:r>
      <w:proofErr w:type="gramStart"/>
      <w:r w:rsidRPr="002E6125">
        <w:rPr>
          <w:rFonts w:ascii="Times New Roman" w:eastAsia="Times New Roman" w:hAnsi="Times New Roman" w:cs="Times New Roman"/>
          <w:sz w:val="24"/>
          <w:szCs w:val="24"/>
          <w:lang w:eastAsia="tr-TR"/>
        </w:rPr>
        <w:t>bazda</w:t>
      </w:r>
      <w:proofErr w:type="gramEnd"/>
      <w:r w:rsidRPr="002E6125">
        <w:rPr>
          <w:rFonts w:ascii="Times New Roman" w:eastAsia="Times New Roman" w:hAnsi="Times New Roman" w:cs="Times New Roman"/>
          <w:sz w:val="24"/>
          <w:szCs w:val="24"/>
          <w:lang w:eastAsia="tr-TR"/>
        </w:rPr>
        <w:t xml:space="preserve"> FAVÖK, 4Ç24'teki 196,3 milyon TL'den 4Ç25'te 957,9 milyon TL'ye yükselerek yıllık bazda %388 artış kaydetti.</w:t>
      </w:r>
      <w:bookmarkStart w:id="0" w:name="_GoBack"/>
      <w:bookmarkEnd w:id="0"/>
    </w:p>
    <w:p w:rsidR="002E6125" w:rsidRPr="002E6125" w:rsidRDefault="002E6125" w:rsidP="002E6125">
      <w:pPr>
        <w:spacing w:before="100" w:beforeAutospacing="1" w:after="100" w:afterAutospacing="1" w:line="240" w:lineRule="auto"/>
        <w:rPr>
          <w:rFonts w:ascii="Times New Roman" w:eastAsia="Times New Roman" w:hAnsi="Times New Roman" w:cs="Times New Roman"/>
          <w:sz w:val="24"/>
          <w:szCs w:val="24"/>
          <w:lang w:eastAsia="tr-TR"/>
        </w:rPr>
      </w:pPr>
      <w:r w:rsidRPr="002E6125">
        <w:rPr>
          <w:rFonts w:ascii="Times New Roman" w:eastAsia="Times New Roman" w:hAnsi="Times New Roman" w:cs="Times New Roman"/>
          <w:sz w:val="24"/>
          <w:szCs w:val="24"/>
          <w:lang w:eastAsia="tr-TR"/>
        </w:rPr>
        <w:t xml:space="preserve">30 Aralık 2025 tarihinde tamamlanan </w:t>
      </w:r>
      <w:proofErr w:type="spellStart"/>
      <w:r w:rsidRPr="002E6125">
        <w:rPr>
          <w:rFonts w:ascii="Times New Roman" w:eastAsia="Times New Roman" w:hAnsi="Times New Roman" w:cs="Times New Roman"/>
          <w:sz w:val="24"/>
          <w:szCs w:val="24"/>
          <w:lang w:eastAsia="tr-TR"/>
        </w:rPr>
        <w:t>İntron</w:t>
      </w:r>
      <w:proofErr w:type="spellEnd"/>
      <w:r w:rsidRPr="002E6125">
        <w:rPr>
          <w:rFonts w:ascii="Times New Roman" w:eastAsia="Times New Roman" w:hAnsi="Times New Roman" w:cs="Times New Roman"/>
          <w:sz w:val="24"/>
          <w:szCs w:val="24"/>
          <w:lang w:eastAsia="tr-TR"/>
        </w:rPr>
        <w:t xml:space="preserve"> Bilişim birleşmesi, yılın son gününde kapandığından 2025 gelir tablosuna yansımadı; birleşmenin etkisi yalnızca bilanço kalemlerinde görüldü. Bu çerçevede toplam varlıklar 5,31 milyar TL'den 8,51 milyar TL'ye, </w:t>
      </w:r>
      <w:proofErr w:type="spellStart"/>
      <w:r w:rsidRPr="002E6125">
        <w:rPr>
          <w:rFonts w:ascii="Times New Roman" w:eastAsia="Times New Roman" w:hAnsi="Times New Roman" w:cs="Times New Roman"/>
          <w:sz w:val="24"/>
          <w:szCs w:val="24"/>
          <w:lang w:eastAsia="tr-TR"/>
        </w:rPr>
        <w:t>özkaynaklar</w:t>
      </w:r>
      <w:proofErr w:type="spellEnd"/>
      <w:r w:rsidRPr="002E6125">
        <w:rPr>
          <w:rFonts w:ascii="Times New Roman" w:eastAsia="Times New Roman" w:hAnsi="Times New Roman" w:cs="Times New Roman"/>
          <w:sz w:val="24"/>
          <w:szCs w:val="24"/>
          <w:lang w:eastAsia="tr-TR"/>
        </w:rPr>
        <w:t xml:space="preserve"> ise 3,8 milyar TL'den 5,1 milyar TL'ye yükseldi.</w:t>
      </w:r>
    </w:p>
    <w:p w:rsidR="002E6125" w:rsidRPr="002E6125" w:rsidRDefault="002E6125" w:rsidP="002E6125">
      <w:pPr>
        <w:spacing w:before="100" w:beforeAutospacing="1" w:after="100" w:afterAutospacing="1" w:line="240" w:lineRule="auto"/>
        <w:rPr>
          <w:rFonts w:ascii="Times New Roman" w:eastAsia="Times New Roman" w:hAnsi="Times New Roman" w:cs="Times New Roman"/>
          <w:sz w:val="24"/>
          <w:szCs w:val="24"/>
          <w:lang w:eastAsia="tr-TR"/>
        </w:rPr>
      </w:pPr>
      <w:r w:rsidRPr="002E6125">
        <w:rPr>
          <w:rFonts w:ascii="Times New Roman" w:eastAsia="Times New Roman" w:hAnsi="Times New Roman" w:cs="Times New Roman"/>
          <w:sz w:val="24"/>
          <w:szCs w:val="24"/>
          <w:lang w:eastAsia="tr-TR"/>
        </w:rPr>
        <w:t xml:space="preserve">Birleşmenin gerçek büyüklüğünü göstermek amacıyla şirket, </w:t>
      </w:r>
      <w:proofErr w:type="spellStart"/>
      <w:r w:rsidRPr="002E6125">
        <w:rPr>
          <w:rFonts w:ascii="Times New Roman" w:eastAsia="Times New Roman" w:hAnsi="Times New Roman" w:cs="Times New Roman"/>
          <w:sz w:val="24"/>
          <w:szCs w:val="24"/>
          <w:lang w:eastAsia="tr-TR"/>
        </w:rPr>
        <w:t>İntron</w:t>
      </w:r>
      <w:proofErr w:type="spellEnd"/>
      <w:r w:rsidRPr="002E6125">
        <w:rPr>
          <w:rFonts w:ascii="Times New Roman" w:eastAsia="Times New Roman" w:hAnsi="Times New Roman" w:cs="Times New Roman"/>
          <w:sz w:val="24"/>
          <w:szCs w:val="24"/>
          <w:lang w:eastAsia="tr-TR"/>
        </w:rPr>
        <w:t xml:space="preserve"> Bilişim verilerini de kapsayan proforma </w:t>
      </w:r>
      <w:proofErr w:type="gramStart"/>
      <w:r w:rsidRPr="002E6125">
        <w:rPr>
          <w:rFonts w:ascii="Times New Roman" w:eastAsia="Times New Roman" w:hAnsi="Times New Roman" w:cs="Times New Roman"/>
          <w:sz w:val="24"/>
          <w:szCs w:val="24"/>
          <w:lang w:eastAsia="tr-TR"/>
        </w:rPr>
        <w:t>konsolide</w:t>
      </w:r>
      <w:proofErr w:type="gramEnd"/>
      <w:r w:rsidRPr="002E6125">
        <w:rPr>
          <w:rFonts w:ascii="Times New Roman" w:eastAsia="Times New Roman" w:hAnsi="Times New Roman" w:cs="Times New Roman"/>
          <w:sz w:val="24"/>
          <w:szCs w:val="24"/>
          <w:lang w:eastAsia="tr-TR"/>
        </w:rPr>
        <w:t xml:space="preserve"> tablo paylaştı. Proforma tablo, sanki birleşme yılın başında gerçekleşmiş gibi iki şirketin tüm yıl rakamlarını bir araya getiriyor; resmi finansal tablo niteliği taşımıyor. Buna göre birleşik net satışlar 7,56 milyar TL (ARD: 4,22 milyar TL + </w:t>
      </w:r>
      <w:proofErr w:type="spellStart"/>
      <w:r w:rsidRPr="002E6125">
        <w:rPr>
          <w:rFonts w:ascii="Times New Roman" w:eastAsia="Times New Roman" w:hAnsi="Times New Roman" w:cs="Times New Roman"/>
          <w:sz w:val="24"/>
          <w:szCs w:val="24"/>
          <w:lang w:eastAsia="tr-TR"/>
        </w:rPr>
        <w:t>İntron</w:t>
      </w:r>
      <w:proofErr w:type="spellEnd"/>
      <w:r w:rsidRPr="002E6125">
        <w:rPr>
          <w:rFonts w:ascii="Times New Roman" w:eastAsia="Times New Roman" w:hAnsi="Times New Roman" w:cs="Times New Roman"/>
          <w:sz w:val="24"/>
          <w:szCs w:val="24"/>
          <w:lang w:eastAsia="tr-TR"/>
        </w:rPr>
        <w:t xml:space="preserve">: 3,34 milyar TL), proforma FAVÖK 2,75 milyar TL ve vergi öncesi kâr 1,19 milyar TL seviyesinde gerçekleşti. Proforma </w:t>
      </w:r>
      <w:proofErr w:type="gramStart"/>
      <w:r w:rsidRPr="002E6125">
        <w:rPr>
          <w:rFonts w:ascii="Times New Roman" w:eastAsia="Times New Roman" w:hAnsi="Times New Roman" w:cs="Times New Roman"/>
          <w:sz w:val="24"/>
          <w:szCs w:val="24"/>
          <w:lang w:eastAsia="tr-TR"/>
        </w:rPr>
        <w:t>marj</w:t>
      </w:r>
      <w:proofErr w:type="gramEnd"/>
      <w:r w:rsidRPr="002E6125">
        <w:rPr>
          <w:rFonts w:ascii="Times New Roman" w:eastAsia="Times New Roman" w:hAnsi="Times New Roman" w:cs="Times New Roman"/>
          <w:sz w:val="24"/>
          <w:szCs w:val="24"/>
          <w:lang w:eastAsia="tr-TR"/>
        </w:rPr>
        <w:t xml:space="preserve"> profili incelendiğinde brüt kâr marjı %43,90, FAVÖK marjı %41,10 ve vergi öncesi kâr marjı %19,30 olarak hesaplandı.</w:t>
      </w:r>
    </w:p>
    <w:p w:rsidR="002E6125" w:rsidRPr="002E6125" w:rsidRDefault="002E6125" w:rsidP="002E6125">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E6125">
        <w:rPr>
          <w:rFonts w:ascii="Times New Roman" w:eastAsia="Times New Roman" w:hAnsi="Times New Roman" w:cs="Times New Roman"/>
          <w:sz w:val="24"/>
          <w:szCs w:val="24"/>
          <w:lang w:eastAsia="tr-TR"/>
        </w:rPr>
        <w:t>İntron</w:t>
      </w:r>
      <w:proofErr w:type="spellEnd"/>
      <w:r w:rsidRPr="002E6125">
        <w:rPr>
          <w:rFonts w:ascii="Times New Roman" w:eastAsia="Times New Roman" w:hAnsi="Times New Roman" w:cs="Times New Roman"/>
          <w:sz w:val="24"/>
          <w:szCs w:val="24"/>
          <w:lang w:eastAsia="tr-TR"/>
        </w:rPr>
        <w:t xml:space="preserve"> Bilişim'in 15 yıllık sistem </w:t>
      </w:r>
      <w:proofErr w:type="spellStart"/>
      <w:r w:rsidRPr="002E6125">
        <w:rPr>
          <w:rFonts w:ascii="Times New Roman" w:eastAsia="Times New Roman" w:hAnsi="Times New Roman" w:cs="Times New Roman"/>
          <w:sz w:val="24"/>
          <w:szCs w:val="24"/>
          <w:lang w:eastAsia="tr-TR"/>
        </w:rPr>
        <w:t>entegratörlüğü</w:t>
      </w:r>
      <w:proofErr w:type="spellEnd"/>
      <w:r w:rsidRPr="002E6125">
        <w:rPr>
          <w:rFonts w:ascii="Times New Roman" w:eastAsia="Times New Roman" w:hAnsi="Times New Roman" w:cs="Times New Roman"/>
          <w:sz w:val="24"/>
          <w:szCs w:val="24"/>
          <w:lang w:eastAsia="tr-TR"/>
        </w:rPr>
        <w:t xml:space="preserve"> birikimi ve 81 ilde hizmet veren bayi ağıyla şirkete </w:t>
      </w:r>
      <w:proofErr w:type="gramStart"/>
      <w:r w:rsidRPr="002E6125">
        <w:rPr>
          <w:rFonts w:ascii="Times New Roman" w:eastAsia="Times New Roman" w:hAnsi="Times New Roman" w:cs="Times New Roman"/>
          <w:sz w:val="24"/>
          <w:szCs w:val="24"/>
          <w:lang w:eastAsia="tr-TR"/>
        </w:rPr>
        <w:t>dahil</w:t>
      </w:r>
      <w:proofErr w:type="gramEnd"/>
      <w:r w:rsidRPr="002E6125">
        <w:rPr>
          <w:rFonts w:ascii="Times New Roman" w:eastAsia="Times New Roman" w:hAnsi="Times New Roman" w:cs="Times New Roman"/>
          <w:sz w:val="24"/>
          <w:szCs w:val="24"/>
          <w:lang w:eastAsia="tr-TR"/>
        </w:rPr>
        <w:t xml:space="preserve"> edilmesi, ARD Grup'u yalnızca yazılım tedarikçisi kimliğinden donanım ve altyapıyı da kapsayan uçtan uca teknoloji çözümleri sunabilen bütünleşik bir yapıya taşıdı. Yıl içinde Konya Şehir Kütüphanesi (313,5 milyon TL) başta olmak üzere kamu kurumları ve savunma sanayi ile imzalanan yüksek bedelli sözleşmeler gelir ivmesini destekledi. Uluslararası büyüme cephesinde İngiltere ve Özbekistan'da kurulan ARDTECH şirketleri aracılığıyla yazılım ihracatı hedefleniyor. Ar-Ge tarafında sağlık yapay zekası (</w:t>
      </w:r>
      <w:proofErr w:type="spellStart"/>
      <w:r w:rsidRPr="002E6125">
        <w:rPr>
          <w:rFonts w:ascii="Times New Roman" w:eastAsia="Times New Roman" w:hAnsi="Times New Roman" w:cs="Times New Roman"/>
          <w:sz w:val="24"/>
          <w:szCs w:val="24"/>
          <w:lang w:eastAsia="tr-TR"/>
        </w:rPr>
        <w:t>DAIsy</w:t>
      </w:r>
      <w:proofErr w:type="spellEnd"/>
      <w:r w:rsidRPr="002E6125">
        <w:rPr>
          <w:rFonts w:ascii="Times New Roman" w:eastAsia="Times New Roman" w:hAnsi="Times New Roman" w:cs="Times New Roman"/>
          <w:sz w:val="24"/>
          <w:szCs w:val="24"/>
          <w:lang w:eastAsia="tr-TR"/>
        </w:rPr>
        <w:t xml:space="preserve">), öneri sistemleri (EARS) ve dijital ikiz (I2DT) projeleri </w:t>
      </w:r>
      <w:proofErr w:type="gramStart"/>
      <w:r w:rsidRPr="002E6125">
        <w:rPr>
          <w:rFonts w:ascii="Times New Roman" w:eastAsia="Times New Roman" w:hAnsi="Times New Roman" w:cs="Times New Roman"/>
          <w:sz w:val="24"/>
          <w:szCs w:val="24"/>
          <w:lang w:eastAsia="tr-TR"/>
        </w:rPr>
        <w:t>dahil</w:t>
      </w:r>
      <w:proofErr w:type="gramEnd"/>
      <w:r w:rsidRPr="002E6125">
        <w:rPr>
          <w:rFonts w:ascii="Times New Roman" w:eastAsia="Times New Roman" w:hAnsi="Times New Roman" w:cs="Times New Roman"/>
          <w:sz w:val="24"/>
          <w:szCs w:val="24"/>
          <w:lang w:eastAsia="tr-TR"/>
        </w:rPr>
        <w:t xml:space="preserve"> birden fazla ITEA/EUREKA </w:t>
      </w:r>
      <w:proofErr w:type="gramStart"/>
      <w:r w:rsidRPr="002E6125">
        <w:rPr>
          <w:rFonts w:ascii="Times New Roman" w:eastAsia="Times New Roman" w:hAnsi="Times New Roman" w:cs="Times New Roman"/>
          <w:sz w:val="24"/>
          <w:szCs w:val="24"/>
          <w:lang w:eastAsia="tr-TR"/>
        </w:rPr>
        <w:t>projesinin</w:t>
      </w:r>
      <w:proofErr w:type="gramEnd"/>
      <w:r w:rsidRPr="002E6125">
        <w:rPr>
          <w:rFonts w:ascii="Times New Roman" w:eastAsia="Times New Roman" w:hAnsi="Times New Roman" w:cs="Times New Roman"/>
          <w:sz w:val="24"/>
          <w:szCs w:val="24"/>
          <w:lang w:eastAsia="tr-TR"/>
        </w:rPr>
        <w:t xml:space="preserve"> 2026 içinde tamamlanması planlanıyor.</w:t>
      </w:r>
    </w:p>
    <w:p w:rsidR="002E6125" w:rsidRPr="002E6125" w:rsidRDefault="002E6125" w:rsidP="002E6125">
      <w:pPr>
        <w:spacing w:before="100" w:beforeAutospacing="1" w:after="100" w:afterAutospacing="1" w:line="240" w:lineRule="auto"/>
        <w:rPr>
          <w:rFonts w:ascii="Times New Roman" w:eastAsia="Times New Roman" w:hAnsi="Times New Roman" w:cs="Times New Roman"/>
          <w:sz w:val="24"/>
          <w:szCs w:val="24"/>
          <w:lang w:eastAsia="tr-TR"/>
        </w:rPr>
      </w:pPr>
      <w:r w:rsidRPr="002E6125">
        <w:rPr>
          <w:rFonts w:ascii="Times New Roman" w:eastAsia="Times New Roman" w:hAnsi="Times New Roman" w:cs="Times New Roman"/>
          <w:sz w:val="24"/>
          <w:szCs w:val="24"/>
          <w:lang w:eastAsia="tr-TR"/>
        </w:rPr>
        <w:t xml:space="preserve">Genel olarak değerlendirildiğinde, 4Ç25 ve FY25 sonuçları ARD Grup açısından 4Ç'teki güçlü FAVÖK ivmesi ve sağlıklı </w:t>
      </w:r>
      <w:proofErr w:type="gramStart"/>
      <w:r w:rsidRPr="002E6125">
        <w:rPr>
          <w:rFonts w:ascii="Times New Roman" w:eastAsia="Times New Roman" w:hAnsi="Times New Roman" w:cs="Times New Roman"/>
          <w:sz w:val="24"/>
          <w:szCs w:val="24"/>
          <w:lang w:eastAsia="tr-TR"/>
        </w:rPr>
        <w:t>marj</w:t>
      </w:r>
      <w:proofErr w:type="gramEnd"/>
      <w:r w:rsidRPr="002E6125">
        <w:rPr>
          <w:rFonts w:ascii="Times New Roman" w:eastAsia="Times New Roman" w:hAnsi="Times New Roman" w:cs="Times New Roman"/>
          <w:sz w:val="24"/>
          <w:szCs w:val="24"/>
          <w:lang w:eastAsia="tr-TR"/>
        </w:rPr>
        <w:t xml:space="preserve"> profiliyle olumlu bir tablo çiziyor. 2026 yılı, </w:t>
      </w:r>
      <w:proofErr w:type="spellStart"/>
      <w:r w:rsidRPr="002E6125">
        <w:rPr>
          <w:rFonts w:ascii="Times New Roman" w:eastAsia="Times New Roman" w:hAnsi="Times New Roman" w:cs="Times New Roman"/>
          <w:sz w:val="24"/>
          <w:szCs w:val="24"/>
          <w:lang w:eastAsia="tr-TR"/>
        </w:rPr>
        <w:t>İntron</w:t>
      </w:r>
      <w:proofErr w:type="spellEnd"/>
      <w:r w:rsidRPr="002E6125">
        <w:rPr>
          <w:rFonts w:ascii="Times New Roman" w:eastAsia="Times New Roman" w:hAnsi="Times New Roman" w:cs="Times New Roman"/>
          <w:sz w:val="24"/>
          <w:szCs w:val="24"/>
          <w:lang w:eastAsia="tr-TR"/>
        </w:rPr>
        <w:t xml:space="preserve"> birleşmesinin gelir tablosuna ilk kez tam olarak yansıyacağı ve </w:t>
      </w:r>
      <w:proofErr w:type="gramStart"/>
      <w:r w:rsidRPr="002E6125">
        <w:rPr>
          <w:rFonts w:ascii="Times New Roman" w:eastAsia="Times New Roman" w:hAnsi="Times New Roman" w:cs="Times New Roman"/>
          <w:sz w:val="24"/>
          <w:szCs w:val="24"/>
          <w:lang w:eastAsia="tr-TR"/>
        </w:rPr>
        <w:t>sinerji</w:t>
      </w:r>
      <w:proofErr w:type="gramEnd"/>
      <w:r w:rsidRPr="002E6125">
        <w:rPr>
          <w:rFonts w:ascii="Times New Roman" w:eastAsia="Times New Roman" w:hAnsi="Times New Roman" w:cs="Times New Roman"/>
          <w:sz w:val="24"/>
          <w:szCs w:val="24"/>
          <w:lang w:eastAsia="tr-TR"/>
        </w:rPr>
        <w:t xml:space="preserve"> etkisinin somutlaşacağı dönem olması bakımından kritik önem taşıyor; </w:t>
      </w:r>
      <w:proofErr w:type="spellStart"/>
      <w:r w:rsidRPr="002E6125">
        <w:rPr>
          <w:rFonts w:ascii="Times New Roman" w:eastAsia="Times New Roman" w:hAnsi="Times New Roman" w:cs="Times New Roman"/>
          <w:sz w:val="24"/>
          <w:szCs w:val="24"/>
          <w:lang w:eastAsia="tr-TR"/>
        </w:rPr>
        <w:t>operasyonel</w:t>
      </w:r>
      <w:proofErr w:type="spellEnd"/>
      <w:r w:rsidRPr="002E6125">
        <w:rPr>
          <w:rFonts w:ascii="Times New Roman" w:eastAsia="Times New Roman" w:hAnsi="Times New Roman" w:cs="Times New Roman"/>
          <w:sz w:val="24"/>
          <w:szCs w:val="24"/>
          <w:lang w:eastAsia="tr-TR"/>
        </w:rPr>
        <w:t xml:space="preserve"> entegrasyonun hızı ve birleşik yapının marj sürdürülebilirliği yakından izlenmelidir.</w:t>
      </w:r>
    </w:p>
    <w:p w:rsidR="00115319" w:rsidRPr="002E6125" w:rsidRDefault="00115319" w:rsidP="002E6125"/>
    <w:sectPr w:rsidR="00115319" w:rsidRPr="002E6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121B1"/>
    <w:multiLevelType w:val="multilevel"/>
    <w:tmpl w:val="53D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C4D56"/>
    <w:multiLevelType w:val="multilevel"/>
    <w:tmpl w:val="58B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0152BB"/>
    <w:rsid w:val="0003555E"/>
    <w:rsid w:val="00115319"/>
    <w:rsid w:val="002E6125"/>
    <w:rsid w:val="00395538"/>
    <w:rsid w:val="006A381A"/>
    <w:rsid w:val="006E0487"/>
    <w:rsid w:val="007333C2"/>
    <w:rsid w:val="00816E64"/>
    <w:rsid w:val="008D4D4F"/>
    <w:rsid w:val="00DB4DD0"/>
    <w:rsid w:val="00E50DD0"/>
    <w:rsid w:val="00F1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 w:type="character" w:customStyle="1" w:styleId="whitespace-normal">
    <w:name w:val="whitespace-normal"/>
    <w:basedOn w:val="VarsaylanParagrafYazTipi"/>
    <w:rsid w:val="00115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D4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8D4D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 w:type="paragraph" w:styleId="BalonMetni">
    <w:name w:val="Balloon Text"/>
    <w:basedOn w:val="Normal"/>
    <w:link w:val="BalonMetniChar"/>
    <w:uiPriority w:val="99"/>
    <w:semiHidden/>
    <w:unhideWhenUsed/>
    <w:rsid w:val="000355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55E"/>
    <w:rPr>
      <w:rFonts w:ascii="Tahoma" w:hAnsi="Tahoma" w:cs="Tahoma"/>
      <w:sz w:val="16"/>
      <w:szCs w:val="16"/>
    </w:rPr>
  </w:style>
  <w:style w:type="character" w:styleId="Kpr">
    <w:name w:val="Hyperlink"/>
    <w:basedOn w:val="VarsaylanParagrafYazTipi"/>
    <w:uiPriority w:val="99"/>
    <w:unhideWhenUsed/>
    <w:rsid w:val="006E0487"/>
    <w:rPr>
      <w:color w:val="0000FF" w:themeColor="hyperlink"/>
      <w:u w:val="single"/>
    </w:rPr>
  </w:style>
  <w:style w:type="character" w:styleId="zlenenKpr">
    <w:name w:val="FollowedHyperlink"/>
    <w:basedOn w:val="VarsaylanParagrafYazTipi"/>
    <w:uiPriority w:val="99"/>
    <w:semiHidden/>
    <w:unhideWhenUsed/>
    <w:rsid w:val="006E0487"/>
    <w:rPr>
      <w:color w:val="800080" w:themeColor="followedHyperlink"/>
      <w:u w:val="single"/>
    </w:rPr>
  </w:style>
  <w:style w:type="character" w:customStyle="1" w:styleId="css-1jxf684">
    <w:name w:val="css-1jxf684"/>
    <w:basedOn w:val="VarsaylanParagrafYazTipi"/>
    <w:rsid w:val="000152BB"/>
  </w:style>
  <w:style w:type="character" w:customStyle="1" w:styleId="Balk2Char">
    <w:name w:val="Başlık 2 Char"/>
    <w:basedOn w:val="VarsaylanParagrafYazTipi"/>
    <w:link w:val="Balk2"/>
    <w:uiPriority w:val="9"/>
    <w:rsid w:val="008D4D4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D4D4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8D4D4F"/>
    <w:rPr>
      <w:i/>
      <w:iCs/>
    </w:rPr>
  </w:style>
  <w:style w:type="character" w:customStyle="1" w:styleId="whitespace-normal">
    <w:name w:val="whitespace-normal"/>
    <w:basedOn w:val="VarsaylanParagrafYazTipi"/>
    <w:rsid w:val="0011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6787">
      <w:bodyDiv w:val="1"/>
      <w:marLeft w:val="0"/>
      <w:marRight w:val="0"/>
      <w:marTop w:val="0"/>
      <w:marBottom w:val="0"/>
      <w:divBdr>
        <w:top w:val="none" w:sz="0" w:space="0" w:color="auto"/>
        <w:left w:val="none" w:sz="0" w:space="0" w:color="auto"/>
        <w:bottom w:val="none" w:sz="0" w:space="0" w:color="auto"/>
        <w:right w:val="none" w:sz="0" w:space="0" w:color="auto"/>
      </w:divBdr>
    </w:div>
    <w:div w:id="163252793">
      <w:bodyDiv w:val="1"/>
      <w:marLeft w:val="0"/>
      <w:marRight w:val="0"/>
      <w:marTop w:val="0"/>
      <w:marBottom w:val="0"/>
      <w:divBdr>
        <w:top w:val="none" w:sz="0" w:space="0" w:color="auto"/>
        <w:left w:val="none" w:sz="0" w:space="0" w:color="auto"/>
        <w:bottom w:val="none" w:sz="0" w:space="0" w:color="auto"/>
        <w:right w:val="none" w:sz="0" w:space="0" w:color="auto"/>
      </w:divBdr>
    </w:div>
    <w:div w:id="187989969">
      <w:bodyDiv w:val="1"/>
      <w:marLeft w:val="0"/>
      <w:marRight w:val="0"/>
      <w:marTop w:val="0"/>
      <w:marBottom w:val="0"/>
      <w:divBdr>
        <w:top w:val="none" w:sz="0" w:space="0" w:color="auto"/>
        <w:left w:val="none" w:sz="0" w:space="0" w:color="auto"/>
        <w:bottom w:val="none" w:sz="0" w:space="0" w:color="auto"/>
        <w:right w:val="none" w:sz="0" w:space="0" w:color="auto"/>
      </w:divBdr>
    </w:div>
    <w:div w:id="272519193">
      <w:bodyDiv w:val="1"/>
      <w:marLeft w:val="0"/>
      <w:marRight w:val="0"/>
      <w:marTop w:val="0"/>
      <w:marBottom w:val="0"/>
      <w:divBdr>
        <w:top w:val="none" w:sz="0" w:space="0" w:color="auto"/>
        <w:left w:val="none" w:sz="0" w:space="0" w:color="auto"/>
        <w:bottom w:val="none" w:sz="0" w:space="0" w:color="auto"/>
        <w:right w:val="none" w:sz="0" w:space="0" w:color="auto"/>
      </w:divBdr>
    </w:div>
    <w:div w:id="666371431">
      <w:bodyDiv w:val="1"/>
      <w:marLeft w:val="0"/>
      <w:marRight w:val="0"/>
      <w:marTop w:val="0"/>
      <w:marBottom w:val="0"/>
      <w:divBdr>
        <w:top w:val="none" w:sz="0" w:space="0" w:color="auto"/>
        <w:left w:val="none" w:sz="0" w:space="0" w:color="auto"/>
        <w:bottom w:val="none" w:sz="0" w:space="0" w:color="auto"/>
        <w:right w:val="none" w:sz="0" w:space="0" w:color="auto"/>
      </w:divBdr>
    </w:div>
    <w:div w:id="1067725089">
      <w:bodyDiv w:val="1"/>
      <w:marLeft w:val="0"/>
      <w:marRight w:val="0"/>
      <w:marTop w:val="0"/>
      <w:marBottom w:val="0"/>
      <w:divBdr>
        <w:top w:val="none" w:sz="0" w:space="0" w:color="auto"/>
        <w:left w:val="none" w:sz="0" w:space="0" w:color="auto"/>
        <w:bottom w:val="none" w:sz="0" w:space="0" w:color="auto"/>
        <w:right w:val="none" w:sz="0" w:space="0" w:color="auto"/>
      </w:divBdr>
    </w:div>
    <w:div w:id="1288052333">
      <w:bodyDiv w:val="1"/>
      <w:marLeft w:val="0"/>
      <w:marRight w:val="0"/>
      <w:marTop w:val="0"/>
      <w:marBottom w:val="0"/>
      <w:divBdr>
        <w:top w:val="none" w:sz="0" w:space="0" w:color="auto"/>
        <w:left w:val="none" w:sz="0" w:space="0" w:color="auto"/>
        <w:bottom w:val="none" w:sz="0" w:space="0" w:color="auto"/>
        <w:right w:val="none" w:sz="0" w:space="0" w:color="auto"/>
      </w:divBdr>
    </w:div>
    <w:div w:id="1558584030">
      <w:bodyDiv w:val="1"/>
      <w:marLeft w:val="0"/>
      <w:marRight w:val="0"/>
      <w:marTop w:val="0"/>
      <w:marBottom w:val="0"/>
      <w:divBdr>
        <w:top w:val="none" w:sz="0" w:space="0" w:color="auto"/>
        <w:left w:val="none" w:sz="0" w:space="0" w:color="auto"/>
        <w:bottom w:val="none" w:sz="0" w:space="0" w:color="auto"/>
        <w:right w:val="none" w:sz="0" w:space="0" w:color="auto"/>
      </w:divBdr>
    </w:div>
    <w:div w:id="1620456789">
      <w:bodyDiv w:val="1"/>
      <w:marLeft w:val="0"/>
      <w:marRight w:val="0"/>
      <w:marTop w:val="0"/>
      <w:marBottom w:val="0"/>
      <w:divBdr>
        <w:top w:val="none" w:sz="0" w:space="0" w:color="auto"/>
        <w:left w:val="none" w:sz="0" w:space="0" w:color="auto"/>
        <w:bottom w:val="none" w:sz="0" w:space="0" w:color="auto"/>
        <w:right w:val="none" w:sz="0" w:space="0" w:color="auto"/>
      </w:divBdr>
    </w:div>
    <w:div w:id="1660113278">
      <w:bodyDiv w:val="1"/>
      <w:marLeft w:val="0"/>
      <w:marRight w:val="0"/>
      <w:marTop w:val="0"/>
      <w:marBottom w:val="0"/>
      <w:divBdr>
        <w:top w:val="none" w:sz="0" w:space="0" w:color="auto"/>
        <w:left w:val="none" w:sz="0" w:space="0" w:color="auto"/>
        <w:bottom w:val="none" w:sz="0" w:space="0" w:color="auto"/>
        <w:right w:val="none" w:sz="0" w:space="0" w:color="auto"/>
      </w:divBdr>
    </w:div>
    <w:div w:id="1768119035">
      <w:bodyDiv w:val="1"/>
      <w:marLeft w:val="0"/>
      <w:marRight w:val="0"/>
      <w:marTop w:val="0"/>
      <w:marBottom w:val="0"/>
      <w:divBdr>
        <w:top w:val="none" w:sz="0" w:space="0" w:color="auto"/>
        <w:left w:val="none" w:sz="0" w:space="0" w:color="auto"/>
        <w:bottom w:val="none" w:sz="0" w:space="0" w:color="auto"/>
        <w:right w:val="none" w:sz="0" w:space="0" w:color="auto"/>
      </w:divBdr>
    </w:div>
    <w:div w:id="1826311631">
      <w:bodyDiv w:val="1"/>
      <w:marLeft w:val="0"/>
      <w:marRight w:val="0"/>
      <w:marTop w:val="0"/>
      <w:marBottom w:val="0"/>
      <w:divBdr>
        <w:top w:val="none" w:sz="0" w:space="0" w:color="auto"/>
        <w:left w:val="none" w:sz="0" w:space="0" w:color="auto"/>
        <w:bottom w:val="none" w:sz="0" w:space="0" w:color="auto"/>
        <w:right w:val="none" w:sz="0" w:space="0" w:color="auto"/>
      </w:divBdr>
    </w:div>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B784C-4A0A-4742-9CBF-76D0D86D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23</cp:revision>
  <dcterms:created xsi:type="dcterms:W3CDTF">2026-01-30T05:54:00Z</dcterms:created>
  <dcterms:modified xsi:type="dcterms:W3CDTF">2026-02-18T23:10:00Z</dcterms:modified>
</cp:coreProperties>
</file>