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02B" w:rsidRDefault="0047602B" w:rsidP="0047602B">
      <w:pPr>
        <w:pStyle w:val="NormalWeb"/>
      </w:pPr>
      <w:r>
        <w:t xml:space="preserve">DOAS 2Ç25 Sonuçları (Sınırlı Negatif)- </w:t>
      </w:r>
      <w:proofErr w:type="spellStart"/>
      <w:r>
        <w:t>PhillipCapital</w:t>
      </w:r>
      <w:proofErr w:type="spellEnd"/>
      <w:r>
        <w:t xml:space="preserve"> Araştırma</w:t>
      </w:r>
    </w:p>
    <w:p w:rsidR="0047602B" w:rsidRDefault="0047602B" w:rsidP="0047602B">
      <w:pPr>
        <w:pStyle w:val="NormalWeb"/>
      </w:pPr>
      <w:r>
        <w:t xml:space="preserve">DOAS, 2Ç25 </w:t>
      </w:r>
      <w:proofErr w:type="gramStart"/>
      <w:r>
        <w:t>konsolide</w:t>
      </w:r>
      <w:proofErr w:type="gramEnd"/>
      <w:r>
        <w:t xml:space="preserve"> finansallarında;</w:t>
      </w:r>
    </w:p>
    <w:p w:rsidR="0047602B" w:rsidRDefault="0047602B" w:rsidP="0047602B">
      <w:pPr>
        <w:pStyle w:val="NormalWeb"/>
      </w:pPr>
      <w:r>
        <w:t xml:space="preserve">- yıllık </w:t>
      </w:r>
      <w:proofErr w:type="gramStart"/>
      <w:r>
        <w:t>bazda</w:t>
      </w:r>
      <w:proofErr w:type="gramEnd"/>
      <w:r>
        <w:t xml:space="preserve"> %14 artışla 60,14 milyar TL ciro,</w:t>
      </w:r>
    </w:p>
    <w:p w:rsidR="0047602B" w:rsidRDefault="0047602B" w:rsidP="0047602B">
      <w:pPr>
        <w:pStyle w:val="NormalWeb"/>
      </w:pPr>
      <w:r>
        <w:t xml:space="preserve">- yıllık </w:t>
      </w:r>
      <w:proofErr w:type="gramStart"/>
      <w:r>
        <w:t>bazda</w:t>
      </w:r>
      <w:proofErr w:type="gramEnd"/>
      <w:r>
        <w:t xml:space="preserve"> %44 azalışla 3,94 TL FAVÖK ve</w:t>
      </w:r>
    </w:p>
    <w:p w:rsidR="0047602B" w:rsidRDefault="0047602B" w:rsidP="0047602B">
      <w:pPr>
        <w:pStyle w:val="NormalWeb"/>
      </w:pPr>
      <w:r>
        <w:t xml:space="preserve">- yıllık </w:t>
      </w:r>
      <w:proofErr w:type="gramStart"/>
      <w:r>
        <w:t>bazda</w:t>
      </w:r>
      <w:proofErr w:type="gramEnd"/>
      <w:r>
        <w:t xml:space="preserve"> %21 azalışla yaklaşık 2,12 milyar TL net kar açıkladı.</w:t>
      </w:r>
    </w:p>
    <w:p w:rsidR="0047602B" w:rsidRDefault="0047602B" w:rsidP="0047602B">
      <w:pPr>
        <w:pStyle w:val="NormalWeb"/>
      </w:pPr>
      <w:r>
        <w:t xml:space="preserve">Piyasa medyan beklentisi 61,41 milyar TL gelir, 4,64 milyar TL FAVÖK ve 1,72 milyar TL net kâr yönündeyken; bizim beklentilerimiz 58,4 milyar TL gelir, 4,90 milyar TL FAVÖK ve 1,39 milyar TL net kâr şeklindeydi. Dolayısıyla ciro ve FAVÖK piyasa beklentisinin altında kalırken net kar </w:t>
      </w:r>
      <w:proofErr w:type="spellStart"/>
      <w:r>
        <w:t>konsensusu</w:t>
      </w:r>
      <w:proofErr w:type="spellEnd"/>
      <w:r>
        <w:t xml:space="preserve"> %23 aştı.</w:t>
      </w:r>
    </w:p>
    <w:p w:rsidR="0047602B" w:rsidRDefault="0047602B" w:rsidP="0047602B">
      <w:pPr>
        <w:pStyle w:val="NormalWeb"/>
      </w:pPr>
      <w:r>
        <w:t> </w:t>
      </w:r>
    </w:p>
    <w:p w:rsidR="0047602B" w:rsidRDefault="0047602B" w:rsidP="0047602B">
      <w:pPr>
        <w:pStyle w:val="NormalWeb"/>
      </w:pPr>
      <w:r>
        <w:t xml:space="preserve">- Pazar dinamiklerine bakıldığında, DOAS yılın ilk altı ayında binek araç perakende satış pazarında %16 pazar payıyla liderliğini korumuştur. Aynı dönemde hafif ticari </w:t>
      </w:r>
      <w:proofErr w:type="spellStart"/>
      <w:r>
        <w:t>segmentte</w:t>
      </w:r>
      <w:proofErr w:type="spellEnd"/>
      <w:r>
        <w:t xml:space="preserve"> %8,8 pay ile dördüncü sırada yer almıştır. Toplamda şirketin pazardaki payı %14,4’tür. Lüks ve elektrikli araç </w:t>
      </w:r>
      <w:proofErr w:type="spellStart"/>
      <w:r>
        <w:t>segmentlerinde</w:t>
      </w:r>
      <w:proofErr w:type="spellEnd"/>
      <w:r>
        <w:t xml:space="preserve"> ise ciddi pazar payı kazanımları dikkat çekmektedir.</w:t>
      </w:r>
    </w:p>
    <w:p w:rsidR="0047602B" w:rsidRDefault="0047602B" w:rsidP="0047602B">
      <w:pPr>
        <w:pStyle w:val="NormalWeb"/>
      </w:pPr>
      <w:r>
        <w:t> </w:t>
      </w:r>
    </w:p>
    <w:p w:rsidR="0047602B" w:rsidRDefault="0047602B" w:rsidP="0047602B">
      <w:pPr>
        <w:pStyle w:val="NormalWeb"/>
      </w:pPr>
      <w:r>
        <w:t xml:space="preserve">- Yılın ilk yarısı itibariyle Şirketin brüt kâr </w:t>
      </w:r>
      <w:proofErr w:type="gramStart"/>
      <w:r>
        <w:t>marjı</w:t>
      </w:r>
      <w:proofErr w:type="gramEnd"/>
      <w:r>
        <w:t xml:space="preserve"> geçen yılın aynı dönemine göre 5,3 puan gerileyerek %13,2’ye düşerken, esas faaliyet kârı marjı %12,58’den %6,29’a, net kâr marjı ise %6,9’dan %2,6’ya gerilemiştir. Dönem içinde toptan satış adetleri yıllık </w:t>
      </w:r>
      <w:proofErr w:type="gramStart"/>
      <w:r>
        <w:t>bazda</w:t>
      </w:r>
      <w:proofErr w:type="gramEnd"/>
      <w:r>
        <w:t xml:space="preserve"> %13 artışla 72.224 adede yükselmiş ve özellikle Audi, VW Binek ve CUPRA markaları bu büyümeye katkı sağlamıştır.</w:t>
      </w:r>
    </w:p>
    <w:p w:rsidR="0047602B" w:rsidRDefault="0047602B" w:rsidP="0047602B">
      <w:pPr>
        <w:pStyle w:val="NormalWeb"/>
      </w:pPr>
      <w:r>
        <w:t> </w:t>
      </w:r>
    </w:p>
    <w:p w:rsidR="0047602B" w:rsidRDefault="0047602B" w:rsidP="0047602B">
      <w:pPr>
        <w:pStyle w:val="NormalWeb"/>
      </w:pPr>
      <w:r>
        <w:t xml:space="preserve">- Bu çeyrekte </w:t>
      </w:r>
      <w:proofErr w:type="spellStart"/>
      <w:r>
        <w:t>FAVÖK’teki</w:t>
      </w:r>
      <w:proofErr w:type="spellEnd"/>
      <w:r>
        <w:t xml:space="preserve"> sert daralma, brüt kârdaki %34 düşüşten kaynaklanırken, net kâr tarafındaki gerilemede net finansman giderlerinin yıllık </w:t>
      </w:r>
      <w:proofErr w:type="gramStart"/>
      <w:r>
        <w:t>bazda</w:t>
      </w:r>
      <w:proofErr w:type="gramEnd"/>
      <w:r>
        <w:t xml:space="preserve"> %233 artarak 3,28 milyar TL’ye ulaşması temel belirleyici olmuştur.</w:t>
      </w:r>
    </w:p>
    <w:p w:rsidR="0047602B" w:rsidRDefault="0047602B" w:rsidP="0047602B">
      <w:pPr>
        <w:pStyle w:val="NormalWeb"/>
      </w:pPr>
      <w:r>
        <w:t> </w:t>
      </w:r>
    </w:p>
    <w:p w:rsidR="0047602B" w:rsidRDefault="0047602B" w:rsidP="0047602B">
      <w:pPr>
        <w:pStyle w:val="NormalWeb"/>
      </w:pPr>
      <w:r>
        <w:t>- Şirketin net borç pozisyonu 2Ç25’te 18,44 milyar TL’ye yükselmiştir (1Ç25: 10,91 milyar TL). Aynı dönemde araç stok adedi 14.173’ten 27.773’e yükselirken buna bağlı olarak işletme sermayesi 58,5 milyar TL’ye ulaşarak yılbaşına göre %23 artış göstermiştir.</w:t>
      </w:r>
    </w:p>
    <w:p w:rsidR="0047602B" w:rsidRDefault="0047602B" w:rsidP="0047602B">
      <w:pPr>
        <w:pStyle w:val="NormalWeb"/>
      </w:pPr>
      <w:r>
        <w:t> </w:t>
      </w:r>
    </w:p>
    <w:p w:rsidR="001412FD" w:rsidRDefault="0047602B" w:rsidP="0047602B">
      <w:pPr>
        <w:pStyle w:val="NormalWeb"/>
      </w:pPr>
      <w:r>
        <w:t xml:space="preserve">Genel olarak değerlendirildiğinde, 2Ç25 döneminde </w:t>
      </w:r>
      <w:proofErr w:type="spellStart"/>
      <w:r>
        <w:t>DOAS’ın</w:t>
      </w:r>
      <w:proofErr w:type="spellEnd"/>
      <w:r>
        <w:t xml:space="preserve"> </w:t>
      </w:r>
      <w:proofErr w:type="spellStart"/>
      <w:r>
        <w:t>operasyonel</w:t>
      </w:r>
      <w:proofErr w:type="spellEnd"/>
      <w:r>
        <w:t xml:space="preserve"> büyümesi devam etmekle birlikte kârlılık tarafında ciddi bir baskı ile karşı karşıya kaldığını görüyoruz. Faaliyet </w:t>
      </w:r>
      <w:proofErr w:type="gramStart"/>
      <w:r>
        <w:t>marjlarındaki</w:t>
      </w:r>
      <w:proofErr w:type="gramEnd"/>
      <w:r>
        <w:t xml:space="preserve"> zayıflama ve artan borçluluk neticesinde finansallar özellikle net kâr tarafında bozulma göstermiştir. Ancak, net kârın beklentileri aşması bu görünümü dengeleyen bir unsur olabilir. DOAS mevcut durumda 2025 yılı tahminlerimize göre 2,5x FD/FAVÖK çarpanı ile işlem görmektedir.</w:t>
      </w:r>
      <w:bookmarkStart w:id="0" w:name="_GoBack"/>
      <w:bookmarkEnd w:id="0"/>
    </w:p>
    <w:sectPr w:rsidR="001412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377"/>
    <w:rsid w:val="001412FD"/>
    <w:rsid w:val="0047602B"/>
    <w:rsid w:val="00EA63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7602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7602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0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3</cp:revision>
  <dcterms:created xsi:type="dcterms:W3CDTF">2025-08-20T06:40:00Z</dcterms:created>
  <dcterms:modified xsi:type="dcterms:W3CDTF">2025-08-20T06:40:00Z</dcterms:modified>
</cp:coreProperties>
</file>