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CB0" w:rsidRDefault="00003CB0" w:rsidP="00003CB0">
      <w:bookmarkStart w:id="0" w:name="_GoBack"/>
      <w:bookmarkEnd w:id="0"/>
    </w:p>
    <w:p w:rsidR="00003CB0" w:rsidRDefault="00003CB0" w:rsidP="00003CB0">
      <w:pPr>
        <w:rPr>
          <w:b/>
          <w:bCs/>
        </w:rPr>
      </w:pPr>
      <w:r>
        <w:rPr>
          <w:b/>
          <w:bCs/>
        </w:rPr>
        <w:t xml:space="preserve">EREGL 3Ç25 (Nötr) - </w:t>
      </w:r>
      <w:proofErr w:type="spellStart"/>
      <w:r>
        <w:rPr>
          <w:b/>
          <w:bCs/>
        </w:rPr>
        <w:t>PhillipCapital</w:t>
      </w:r>
      <w:proofErr w:type="spellEnd"/>
      <w:r>
        <w:rPr>
          <w:b/>
          <w:bCs/>
        </w:rPr>
        <w:t xml:space="preserve"> Araştırma/</w:t>
      </w:r>
      <w:r>
        <w:t xml:space="preserve"> </w:t>
      </w:r>
      <w:r>
        <w:rPr>
          <w:b/>
          <w:bCs/>
        </w:rPr>
        <w:t>Hedef Fiyat: 34,25 TL / Öneri: Endeks Üzeri Getiri</w:t>
      </w:r>
    </w:p>
    <w:p w:rsidR="00003CB0" w:rsidRDefault="00003CB0" w:rsidP="00003CB0">
      <w:r>
        <w:t>EREGL, 3Ç25 finansallarında;</w:t>
      </w:r>
    </w:p>
    <w:p w:rsidR="00003CB0" w:rsidRDefault="00003CB0" w:rsidP="00003CB0"/>
    <w:p w:rsidR="00003CB0" w:rsidRDefault="00003CB0" w:rsidP="00003CB0">
      <w:r>
        <w:t xml:space="preserve">- yıllık </w:t>
      </w:r>
      <w:proofErr w:type="gramStart"/>
      <w:r>
        <w:t>bazda</w:t>
      </w:r>
      <w:proofErr w:type="gramEnd"/>
      <w:r>
        <w:t xml:space="preserve"> %9 artışla 52,96 milyar TL ciro, </w:t>
      </w:r>
    </w:p>
    <w:p w:rsidR="00003CB0" w:rsidRDefault="00003CB0" w:rsidP="00003CB0">
      <w:r>
        <w:t xml:space="preserve">- yıllık </w:t>
      </w:r>
      <w:proofErr w:type="gramStart"/>
      <w:r>
        <w:t>bazda</w:t>
      </w:r>
      <w:proofErr w:type="gramEnd"/>
      <w:r>
        <w:t xml:space="preserve"> %4 artışla 4,74 milyar TL FAVÖK ve</w:t>
      </w:r>
    </w:p>
    <w:p w:rsidR="00003CB0" w:rsidRDefault="00003CB0" w:rsidP="00003CB0">
      <w:r>
        <w:t xml:space="preserve">- yıllık </w:t>
      </w:r>
      <w:proofErr w:type="gramStart"/>
      <w:r>
        <w:t>bazda</w:t>
      </w:r>
      <w:proofErr w:type="gramEnd"/>
      <w:r>
        <w:t xml:space="preserve"> %19 azalışla 651 milyon TL net kâr açıkladı. </w:t>
      </w:r>
    </w:p>
    <w:p w:rsidR="00003CB0" w:rsidRDefault="00003CB0" w:rsidP="00003CB0"/>
    <w:p w:rsidR="00003CB0" w:rsidRDefault="00003CB0" w:rsidP="00003CB0">
      <w:r>
        <w:t xml:space="preserve">Piyasa medyan beklentisi 49,84 milyar TL gelir, 4,86 milyar TL FAVÖK ve 712 milyon TL net kâr olması yönündeydi. Dolayısıyla ciro piyasa beklentisinin üzerinde açıklanırken FAVÖK ve net kâr altında kaldı. </w:t>
      </w:r>
    </w:p>
    <w:p w:rsidR="00003CB0" w:rsidRDefault="00003CB0" w:rsidP="00003CB0"/>
    <w:p w:rsidR="00003CB0" w:rsidRDefault="00003CB0" w:rsidP="00003CB0">
      <w:r>
        <w:t xml:space="preserve">Erdemir yılın üçüncü çeyreğinde yaklaşık 1,93 </w:t>
      </w:r>
      <w:proofErr w:type="spellStart"/>
      <w:r>
        <w:t>mn</w:t>
      </w:r>
      <w:proofErr w:type="spellEnd"/>
      <w:r>
        <w:t xml:space="preserve"> ton satış hacmi gerçekleştirdi. Böylelikle satış hacmi önceki çeyreğe kıyasla %9 artarken yıllık </w:t>
      </w:r>
      <w:proofErr w:type="gramStart"/>
      <w:r>
        <w:t>bazda</w:t>
      </w:r>
      <w:proofErr w:type="gramEnd"/>
      <w:r>
        <w:t xml:space="preserve"> yatay kaldı. Öte yandan, şirketin ihracat payı ikinci çeyrekte %27,3 düzeyindeyken üçüncü çeyrekte %19,2’ye geriledi. Dokuz aylık dönem itibarıyla ise ihracat payı %23 seviyesinde gerçekleşti (9A24: %20,4). Ana odak iç pazar olduğundan cazip fiyat ve talep nedeniyle ihracattaki gerilemenin makul olduğunu düşünüyoruz. </w:t>
      </w:r>
    </w:p>
    <w:p w:rsidR="00003CB0" w:rsidRDefault="00003CB0" w:rsidP="00003CB0"/>
    <w:p w:rsidR="00003CB0" w:rsidRDefault="00003CB0" w:rsidP="00003CB0">
      <w:r>
        <w:t xml:space="preserve">Diğer yandan yeni yatırımların sağladığı verimlilikle FAVÖK yıllık %4 artış gösterirken ton başı FAVÖK 68 USD ile geçen çeyreğe kıyasla ılımlı artış kaydetti (2Ç25: 64 USD, 3Ç24: 71 USD). FAVÖK </w:t>
      </w:r>
      <w:proofErr w:type="gramStart"/>
      <w:r>
        <w:t>marjı</w:t>
      </w:r>
      <w:proofErr w:type="gramEnd"/>
      <w:r>
        <w:t xml:space="preserve"> ise yıllık bazda 0,4 puan azalışla %8,9 olarak gerçekleşti. </w:t>
      </w:r>
    </w:p>
    <w:p w:rsidR="00003CB0" w:rsidRDefault="00003CB0" w:rsidP="00003CB0"/>
    <w:p w:rsidR="00003CB0" w:rsidRDefault="00003CB0" w:rsidP="00003CB0">
      <w:r>
        <w:t xml:space="preserve">Daha önce, şirketin </w:t>
      </w:r>
      <w:proofErr w:type="spellStart"/>
      <w:r>
        <w:t>Eurobond</w:t>
      </w:r>
      <w:proofErr w:type="spellEnd"/>
      <w:r>
        <w:t xml:space="preserve"> kaynaklı Net Borç / FAVÖK oranının 3,5x seviyesini aşmamasını hedeflediğini belirtmiştik. Haziran sonu itibariyle 2,98x seviyesinde gerçekleşen oran Eylül sonu itibarıyla 2,76x'e geriledi.</w:t>
      </w:r>
    </w:p>
    <w:p w:rsidR="00003CB0" w:rsidRDefault="00003CB0" w:rsidP="00003CB0"/>
    <w:p w:rsidR="00003CB0" w:rsidRDefault="00003CB0" w:rsidP="00003CB0">
      <w:r>
        <w:t xml:space="preserve">Altın yatırımı ile ilgili şirket, UMREK raporunun 3Ç25’te yayımlanmasını bekliyordu. Resmi sürecin uzaması nedeniyle raporun </w:t>
      </w:r>
      <w:proofErr w:type="gramStart"/>
      <w:r>
        <w:t>yıl sonu</w:t>
      </w:r>
      <w:proofErr w:type="gramEnd"/>
      <w:r>
        <w:t xml:space="preserve"> bitmeden açıklanması öngörülüyor. Rapor tarihinin yaklaşması, hisseye yönelik yatırımcı ilgisinin canlı kalmasına katkı sağlayabilir.</w:t>
      </w:r>
    </w:p>
    <w:p w:rsidR="00003CB0" w:rsidRDefault="00003CB0" w:rsidP="00003CB0"/>
    <w:p w:rsidR="00003CB0" w:rsidRDefault="00003CB0" w:rsidP="00003CB0">
      <w:r>
        <w:t>Şirketi orta-uzun vadede beğenmeye devam ediyoruz, 12 ay vadeli hedef fiyatımızı 34,25 TL seviyesinde koruyoruz. EREGL 2025 tahminlerimize göre 11,1x FD/FAVÖK çarpanıyla işlem görmektedir.</w:t>
      </w:r>
    </w:p>
    <w:p w:rsidR="00003CB0" w:rsidRDefault="00003CB0" w:rsidP="00003CB0"/>
    <w:p w:rsidR="00003CB0" w:rsidRDefault="00003CB0" w:rsidP="00003CB0">
      <w:r>
        <w:t xml:space="preserve">Açıklanan sonuçları, </w:t>
      </w:r>
      <w:proofErr w:type="spellStart"/>
      <w:r>
        <w:t>operasyonel</w:t>
      </w:r>
      <w:proofErr w:type="spellEnd"/>
      <w:r>
        <w:t xml:space="preserve"> kâr marjları ve net kârdaki gerilemeye karşın, ton başı </w:t>
      </w:r>
      <w:proofErr w:type="spellStart"/>
      <w:r>
        <w:t>FAVÖK’te</w:t>
      </w:r>
      <w:proofErr w:type="spellEnd"/>
      <w:r>
        <w:t xml:space="preserve"> </w:t>
      </w:r>
      <w:proofErr w:type="spellStart"/>
      <w:r>
        <w:t>çeyreksel</w:t>
      </w:r>
      <w:proofErr w:type="spellEnd"/>
      <w:r>
        <w:t xml:space="preserve"> bazda görülen iyileşme ve cirodaki artışın dengeleyici etkisi nedeniyle </w:t>
      </w:r>
      <w:proofErr w:type="gramStart"/>
      <w:r>
        <w:t>nötr</w:t>
      </w:r>
      <w:proofErr w:type="gramEnd"/>
      <w:r>
        <w:t xml:space="preserve"> olarak değerlendiriyoruz. AB’nin yurt içi üreticileri korumaya yönelik planladığı korumacı önlemlerin, nihai ürün fiyatları üzerinde bir süre daha baskı yaratmasını öngörmekle birlikte, ABD-Çin arasındaki gerilimlerin de fiyatlar üzerinde baskı oluşturabileceğini düşünüyoruz. Ancak, </w:t>
      </w:r>
      <w:proofErr w:type="gramStart"/>
      <w:r>
        <w:t>Dahilde</w:t>
      </w:r>
      <w:proofErr w:type="gramEnd"/>
      <w:r>
        <w:t xml:space="preserve"> İşleme </w:t>
      </w:r>
      <w:proofErr w:type="spellStart"/>
      <w:r>
        <w:t>Rejimi’ndeki</w:t>
      </w:r>
      <w:proofErr w:type="spellEnd"/>
      <w:r>
        <w:t xml:space="preserve"> değişikliğin kademeli olarak hem fiyatları hem de üretimi desteklemesini bekliyoruz. Şirket bugün 16:00’da telekonferans gerçekleştirecek.</w:t>
      </w:r>
    </w:p>
    <w:p w:rsidR="00003CB0" w:rsidRDefault="00003CB0" w:rsidP="00003CB0"/>
    <w:p w:rsidR="00003CB0" w:rsidRDefault="00003CB0" w:rsidP="00003CB0"/>
    <w:p w:rsidR="00003CB0" w:rsidRDefault="00003CB0" w:rsidP="00003CB0">
      <w:pPr>
        <w:rPr>
          <w:b/>
          <w:bCs/>
          <w:i/>
          <w:iCs/>
          <w:color w:val="0B0864"/>
          <w:sz w:val="24"/>
          <w:szCs w:val="24"/>
          <w:lang w:eastAsia="tr-TR"/>
        </w:rPr>
      </w:pPr>
      <w:proofErr w:type="spellStart"/>
      <w:r>
        <w:rPr>
          <w:b/>
          <w:bCs/>
          <w:i/>
          <w:iCs/>
          <w:color w:val="0B0864"/>
          <w:sz w:val="24"/>
          <w:szCs w:val="24"/>
          <w:lang w:eastAsia="tr-TR"/>
        </w:rPr>
        <w:t>PhillipCapital</w:t>
      </w:r>
      <w:proofErr w:type="spellEnd"/>
      <w:r>
        <w:rPr>
          <w:b/>
          <w:bCs/>
          <w:i/>
          <w:iCs/>
          <w:color w:val="0B0864"/>
          <w:sz w:val="24"/>
          <w:szCs w:val="24"/>
          <w:lang w:eastAsia="tr-TR"/>
        </w:rPr>
        <w:t xml:space="preserve"> Araştırma Ekibi</w:t>
      </w:r>
    </w:p>
    <w:p w:rsidR="00003CB0" w:rsidRDefault="00003CB0" w:rsidP="00003CB0">
      <w:pPr>
        <w:jc w:val="center"/>
        <w:rPr>
          <w:rFonts w:eastAsia="Times New Roman"/>
          <w:color w:val="23538D"/>
          <w:sz w:val="24"/>
          <w:szCs w:val="24"/>
          <w:lang w:eastAsia="tr-TR"/>
        </w:rPr>
      </w:pPr>
      <w:r>
        <w:rPr>
          <w:rFonts w:eastAsia="Times New Roman"/>
          <w:color w:val="23538D"/>
          <w:sz w:val="24"/>
          <w:szCs w:val="24"/>
          <w:lang w:eastAsia="tr-TR"/>
        </w:rPr>
        <w:pict>
          <v:rect id="_x0000_i1025" style="width:453.6pt;height:1.5pt" o:hralign="center" o:hrstd="t" o:hrnoshade="t" o:hr="t" fillcolor="#0b0864" stroked="f"/>
        </w:pict>
      </w:r>
    </w:p>
    <w:p w:rsidR="00376999" w:rsidRDefault="00003CB0" w:rsidP="00003CB0">
      <w:r>
        <w:rPr>
          <w:noProof/>
          <w:color w:val="212121"/>
          <w:sz w:val="24"/>
          <w:szCs w:val="24"/>
          <w:lang w:eastAsia="tr-TR"/>
        </w:rPr>
        <w:drawing>
          <wp:inline distT="0" distB="0" distL="0" distR="0">
            <wp:extent cx="1947545" cy="487045"/>
            <wp:effectExtent l="0" t="0" r="0" b="8255"/>
            <wp:docPr id="1" name="Resim 1" descr="cid:image003.png@01DC4263.19797C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9157623" descr="cid:image003.png@01DC4263.19797C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947545" cy="487045"/>
                    </a:xfrm>
                    <a:prstGeom prst="rect">
                      <a:avLst/>
                    </a:prstGeom>
                    <a:noFill/>
                    <a:ln>
                      <a:noFill/>
                    </a:ln>
                  </pic:spPr>
                </pic:pic>
              </a:graphicData>
            </a:graphic>
          </wp:inline>
        </w:drawing>
      </w:r>
    </w:p>
    <w:sectPr w:rsidR="00376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B0"/>
    <w:rsid w:val="00003CB0"/>
    <w:rsid w:val="003769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C8111-CE2C-4DE1-B473-683123E3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CB0"/>
    <w:pPr>
      <w:spacing w:after="0" w:line="240" w:lineRule="auto"/>
    </w:pPr>
    <w:rPr>
      <w:rFonts w:ascii="Calibri" w:hAnsi="Calibri" w:cs="Calibri"/>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93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png@01DC4263.19797CE0" TargetMode="Externa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2197</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2025-10-21T05:19:00Z</dcterms:created>
  <dcterms:modified xsi:type="dcterms:W3CDTF">2025-10-21T05:20:00Z</dcterms:modified>
</cp:coreProperties>
</file>